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</w:pPr>
      <w:bookmarkStart w:id="4" w:name="_GoBack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巴彦淖尔市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20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24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年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优秀足球特长生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宋体" w:hAnsi="宋体" w:eastAsia="方正小标宋简体" w:cs="宋体"/>
          <w:b w:val="0"/>
          <w:bCs w:val="0"/>
          <w:color w:val="auto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招生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eastAsia="zh-CN"/>
        </w:rPr>
        <w:t>实战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测试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eastAsia="zh-CN"/>
        </w:rPr>
        <w:t>内容</w:t>
      </w:r>
      <w:bookmarkEnd w:id="4"/>
    </w:p>
    <w:p>
      <w:pPr>
        <w:pStyle w:val="6"/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</w:pPr>
    </w:p>
    <w:p>
      <w:pPr>
        <w:pStyle w:val="6"/>
        <w:rPr>
          <w:rFonts w:hint="eastAsia" w:ascii="仿宋_GB2312" w:hAnsi="仿宋_GB2312" w:eastAsia="仿宋_GB2312" w:cs="仿宋_GB2312"/>
          <w:b/>
          <w:color w:val="auto"/>
          <w:sz w:val="28"/>
          <w:szCs w:val="20"/>
        </w:rPr>
      </w:pP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测试内容和权重</w:t>
      </w:r>
    </w:p>
    <w:tbl>
      <w:tblPr>
        <w:tblStyle w:val="4"/>
        <w:tblW w:w="87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5"/>
        <w:gridCol w:w="1108"/>
        <w:gridCol w:w="1307"/>
        <w:gridCol w:w="3113"/>
        <w:gridCol w:w="13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885" w:type="dxa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测试标准</w:t>
            </w:r>
          </w:p>
        </w:tc>
        <w:tc>
          <w:tcPr>
            <w:tcW w:w="1108" w:type="dxa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位置</w:t>
            </w:r>
          </w:p>
        </w:tc>
        <w:tc>
          <w:tcPr>
            <w:tcW w:w="1307" w:type="dxa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项目</w:t>
            </w:r>
          </w:p>
        </w:tc>
        <w:tc>
          <w:tcPr>
            <w:tcW w:w="3113" w:type="dxa"/>
          </w:tcPr>
          <w:p>
            <w:pPr>
              <w:pStyle w:val="6"/>
              <w:ind w:firstLine="640" w:firstLineChars="2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测 试 内 容</w:t>
            </w:r>
          </w:p>
        </w:tc>
        <w:tc>
          <w:tcPr>
            <w:tcW w:w="1364" w:type="dxa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权重（%）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885" w:type="dxa"/>
            <w:vMerge w:val="restart"/>
            <w:vAlign w:val="center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足球技能</w:t>
            </w:r>
          </w:p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测试标准</w:t>
            </w:r>
          </w:p>
        </w:tc>
        <w:tc>
          <w:tcPr>
            <w:tcW w:w="1108" w:type="dxa"/>
            <w:vMerge w:val="restart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非</w:t>
            </w:r>
          </w:p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守</w:t>
            </w:r>
          </w:p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门</w:t>
            </w:r>
          </w:p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员</w:t>
            </w:r>
          </w:p>
        </w:tc>
        <w:tc>
          <w:tcPr>
            <w:tcW w:w="1307" w:type="dxa"/>
            <w:vMerge w:val="restart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技 术</w:t>
            </w:r>
          </w:p>
        </w:tc>
        <w:tc>
          <w:tcPr>
            <w:tcW w:w="3113" w:type="dxa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绕杆运球变向</w:t>
            </w:r>
          </w:p>
        </w:tc>
        <w:tc>
          <w:tcPr>
            <w:tcW w:w="1364" w:type="dxa"/>
          </w:tcPr>
          <w:p>
            <w:pPr>
              <w:pStyle w:val="6"/>
              <w:ind w:firstLine="32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885" w:type="dxa"/>
            <w:vMerge w:val="continue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108" w:type="dxa"/>
            <w:vMerge w:val="continue"/>
          </w:tcPr>
          <w:p>
            <w:pPr>
              <w:pStyle w:val="6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307" w:type="dxa"/>
            <w:vMerge w:val="continue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3113" w:type="dxa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射准</w:t>
            </w:r>
          </w:p>
        </w:tc>
        <w:tc>
          <w:tcPr>
            <w:tcW w:w="1364" w:type="dxa"/>
          </w:tcPr>
          <w:p>
            <w:pPr>
              <w:pStyle w:val="6"/>
              <w:ind w:firstLine="32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885" w:type="dxa"/>
            <w:vMerge w:val="continue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108" w:type="dxa"/>
            <w:vMerge w:val="continue"/>
          </w:tcPr>
          <w:p>
            <w:pPr>
              <w:pStyle w:val="6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307" w:type="dxa"/>
            <w:vMerge w:val="continue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3113" w:type="dxa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多向绕杆跑</w:t>
            </w:r>
          </w:p>
        </w:tc>
        <w:tc>
          <w:tcPr>
            <w:tcW w:w="1364" w:type="dxa"/>
          </w:tcPr>
          <w:p>
            <w:pPr>
              <w:pStyle w:val="6"/>
              <w:ind w:firstLine="32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2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885" w:type="dxa"/>
            <w:vMerge w:val="continue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108" w:type="dxa"/>
            <w:vMerge w:val="continue"/>
          </w:tcPr>
          <w:p>
            <w:pPr>
              <w:pStyle w:val="6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307" w:type="dxa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实 战</w:t>
            </w:r>
          </w:p>
        </w:tc>
        <w:tc>
          <w:tcPr>
            <w:tcW w:w="3113" w:type="dxa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比赛</w:t>
            </w:r>
          </w:p>
        </w:tc>
        <w:tc>
          <w:tcPr>
            <w:tcW w:w="1364" w:type="dxa"/>
          </w:tcPr>
          <w:p>
            <w:pPr>
              <w:pStyle w:val="6"/>
              <w:ind w:firstLine="32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885" w:type="dxa"/>
            <w:vMerge w:val="continue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108" w:type="dxa"/>
            <w:vMerge w:val="restart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守</w:t>
            </w:r>
          </w:p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门</w:t>
            </w:r>
          </w:p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员</w:t>
            </w:r>
          </w:p>
        </w:tc>
        <w:tc>
          <w:tcPr>
            <w:tcW w:w="1307" w:type="dxa"/>
            <w:vMerge w:val="restart"/>
            <w:vAlign w:val="center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技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术</w:t>
            </w:r>
          </w:p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与</w:t>
            </w:r>
          </w:p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素 质</w:t>
            </w:r>
          </w:p>
        </w:tc>
        <w:tc>
          <w:tcPr>
            <w:tcW w:w="3113" w:type="dxa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脚踢远</w:t>
            </w:r>
          </w:p>
        </w:tc>
        <w:tc>
          <w:tcPr>
            <w:tcW w:w="1364" w:type="dxa"/>
          </w:tcPr>
          <w:p>
            <w:pPr>
              <w:pStyle w:val="6"/>
              <w:ind w:firstLine="32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885" w:type="dxa"/>
            <w:vMerge w:val="continue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108" w:type="dxa"/>
            <w:vMerge w:val="continue"/>
          </w:tcPr>
          <w:p>
            <w:pPr>
              <w:pStyle w:val="6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307" w:type="dxa"/>
            <w:vMerge w:val="continue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3113" w:type="dxa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手抛远</w:t>
            </w:r>
          </w:p>
        </w:tc>
        <w:tc>
          <w:tcPr>
            <w:tcW w:w="1364" w:type="dxa"/>
          </w:tcPr>
          <w:p>
            <w:pPr>
              <w:pStyle w:val="6"/>
              <w:ind w:firstLine="32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885" w:type="dxa"/>
            <w:vMerge w:val="continue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108" w:type="dxa"/>
            <w:vMerge w:val="continue"/>
          </w:tcPr>
          <w:p>
            <w:pPr>
              <w:pStyle w:val="6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307" w:type="dxa"/>
            <w:vMerge w:val="continue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3113" w:type="dxa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球门间移动</w:t>
            </w:r>
          </w:p>
        </w:tc>
        <w:tc>
          <w:tcPr>
            <w:tcW w:w="1364" w:type="dxa"/>
          </w:tcPr>
          <w:p>
            <w:pPr>
              <w:pStyle w:val="6"/>
              <w:ind w:firstLine="32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885" w:type="dxa"/>
            <w:vMerge w:val="continue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108" w:type="dxa"/>
            <w:vMerge w:val="continue"/>
          </w:tcPr>
          <w:p>
            <w:pPr>
              <w:pStyle w:val="6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</w:p>
        </w:tc>
        <w:tc>
          <w:tcPr>
            <w:tcW w:w="1307" w:type="dxa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实 战</w:t>
            </w:r>
          </w:p>
        </w:tc>
        <w:tc>
          <w:tcPr>
            <w:tcW w:w="3113" w:type="dxa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比赛</w:t>
            </w:r>
          </w:p>
        </w:tc>
        <w:tc>
          <w:tcPr>
            <w:tcW w:w="1364" w:type="dxa"/>
          </w:tcPr>
          <w:p>
            <w:pPr>
              <w:pStyle w:val="6"/>
              <w:ind w:firstLine="320" w:firstLineChars="10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32"/>
                <w:szCs w:val="32"/>
              </w:rPr>
              <w:t>40</w:t>
            </w:r>
          </w:p>
        </w:tc>
      </w:tr>
    </w:tbl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ind w:firstLine="0" w:firstLineChars="0"/>
        <w:textAlignment w:val="auto"/>
        <w:rPr>
          <w:rFonts w:hint="eastAsia" w:ascii="仿宋_GB2312" w:hAnsi="仿宋_GB2312" w:eastAsia="仿宋_GB2312" w:cs="仿宋_GB2312"/>
          <w:b/>
          <w:color w:val="auto"/>
          <w:sz w:val="28"/>
          <w:szCs w:val="20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ind w:firstLine="0" w:firstLineChars="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  <w:sectPr>
          <w:footerReference r:id="rId4" w:type="first"/>
          <w:footerReference r:id="rId3" w:type="default"/>
          <w:pgSz w:w="11906" w:h="16838"/>
          <w:pgMar w:top="2154" w:right="1474" w:bottom="1701" w:left="1587" w:header="851" w:footer="992" w:gutter="0"/>
          <w:pgNumType w:fmt="decimal" w:start="1"/>
          <w:cols w:space="720" w:num="1"/>
          <w:titlePg/>
          <w:docGrid w:type="lines" w:linePitch="312" w:charSpace="0"/>
        </w:sectPr>
      </w:pPr>
    </w:p>
    <w:p>
      <w:pPr>
        <w:pStyle w:val="6"/>
        <w:jc w:val="center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24"/>
          <w:szCs w:val="28"/>
        </w:rPr>
      </w:pPr>
      <w:bookmarkStart w:id="0" w:name="_Toc444458517"/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0"/>
          <w:szCs w:val="24"/>
          <w:lang w:val="en-US" w:eastAsia="zh-CN"/>
        </w:rPr>
        <w:t>非守门员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0"/>
          <w:szCs w:val="24"/>
        </w:rPr>
        <w:t>测试方法</w:t>
      </w:r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一、绕杆运球变向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测试场地: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20m X15m（图1）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员准备好后举手示意测试员，队员运球启动后测试员开始计时，在到达第5个标志杆时，测试员向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员指示向左或向右带球，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员须运球过完其余的标志杆，到指定区域内变换方向，运球到达测试员所指示的停球点区域，将球停在停球点区域内，计时结束。</w:t>
      </w:r>
    </w:p>
    <w:p>
      <w:pPr>
        <w:jc w:val="center"/>
        <w:rPr>
          <w:rFonts w:hint="eastAsia" w:ascii="仿宋_GB2312" w:hAnsi="仿宋_GB2312" w:eastAsia="仿宋_GB2312" w:cs="仿宋_GB2312"/>
          <w:color w:val="auto"/>
          <w:sz w:val="28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32"/>
          <w:lang w:eastAsia="zh-CN"/>
        </w:rPr>
        <w:drawing>
          <wp:inline distT="0" distB="0" distL="114300" distR="114300">
            <wp:extent cx="4663440" cy="2014855"/>
            <wp:effectExtent l="0" t="0" r="3810" b="4445"/>
            <wp:docPr id="9" name="图片 9" descr="75818860601332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581886060133223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40" w:firstLineChars="1300"/>
        <w:jc w:val="both"/>
        <w:rPr>
          <w:rFonts w:hint="eastAsia" w:ascii="仿宋_GB2312" w:hAnsi="仿宋_GB2312" w:eastAsia="仿宋_GB2312" w:cs="仿宋_GB2312"/>
          <w:color w:val="auto"/>
          <w:sz w:val="28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32"/>
        </w:rPr>
        <w:t>（图1）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评分方法: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测试员计时，对照测试标准给予相应成绩，每人最多可测试两次，记录最佳成绩。运球空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（漏）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杆或未按指示方向运球或未进入指定区域为失败，不计成绩。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二、射准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测试场地: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标准11人制（图2）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员在距离球门线14米处在90秒内进行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次射门。用脚背部位脚法射出的球必须凌空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入目标网的得分区域为有效分，否则为失败不得分。超过规定时间的射门得分无效。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评分方法: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测试员按球射中各区域的分值记录得分，最后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个分值累加，对照测试标准给予相应成绩，每人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测试一次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。球击中门框弹进得分区为有效。射中球门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左上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角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区域得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分；射中球门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右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上角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区域得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3.5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分；射中球门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右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下角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区域得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2.5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分；射中球门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左下（4）号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角区域得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分；射中球门内其他区域得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分。</w:t>
      </w:r>
    </w:p>
    <w:p>
      <w:pPr>
        <w:jc w:val="center"/>
        <w:rPr>
          <w:rFonts w:hint="eastAsia" w:ascii="仿宋_GB2312" w:hAnsi="仿宋_GB2312" w:eastAsia="仿宋_GB2312" w:cs="仿宋_GB2312"/>
          <w:color w:val="auto"/>
          <w:sz w:val="28"/>
          <w:szCs w:val="32"/>
        </w:rPr>
      </w:pPr>
    </w:p>
    <w:p>
      <w:pPr>
        <w:jc w:val="center"/>
        <w:rPr>
          <w:rFonts w:hint="eastAsia" w:ascii="仿宋_GB2312" w:hAnsi="仿宋_GB2312" w:eastAsia="仿宋_GB2312" w:cs="仿宋_GB2312"/>
          <w:color w:val="auto"/>
          <w:sz w:val="28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32"/>
        </w:rPr>
        <w:drawing>
          <wp:inline distT="0" distB="0" distL="114300" distR="114300">
            <wp:extent cx="4256405" cy="3000375"/>
            <wp:effectExtent l="0" t="0" r="10795" b="9525"/>
            <wp:docPr id="3" name="图片 3" descr="7a84a9a01db6402fe01436e4dd17d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a84a9a01db6402fe01436e4dd17dd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640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1120" w:firstLine="3640" w:firstLineChars="1300"/>
        <w:rPr>
          <w:rFonts w:hint="eastAsia" w:ascii="仿宋_GB2312" w:hAnsi="仿宋_GB2312" w:eastAsia="仿宋_GB2312" w:cs="仿宋_GB2312"/>
          <w:color w:val="auto"/>
          <w:sz w:val="28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32"/>
        </w:rPr>
        <w:t>（图2）</w:t>
      </w:r>
    </w:p>
    <w:p>
      <w:pPr>
        <w:ind w:right="1120" w:firstLine="3640" w:firstLineChars="1300"/>
        <w:rPr>
          <w:rFonts w:hint="eastAsia" w:ascii="仿宋_GB2312" w:hAnsi="仿宋_GB2312" w:eastAsia="仿宋_GB2312" w:cs="仿宋_GB2312"/>
          <w:color w:val="auto"/>
          <w:sz w:val="28"/>
          <w:szCs w:val="3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1" w:name="_Toc407089468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、多向绕杆跑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测试场地：</w:t>
      </w:r>
      <w:r>
        <w:rPr>
          <w:rFonts w:hint="eastAsia" w:ascii="仿宋_GB2312" w:hAnsi="仿宋_GB2312" w:eastAsia="仿宋_GB2312" w:cs="仿宋_GB2312"/>
          <w:sz w:val="32"/>
          <w:szCs w:val="32"/>
        </w:rPr>
        <w:t>平整的人工草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坪</w:t>
      </w:r>
      <w:r>
        <w:rPr>
          <w:rFonts w:hint="eastAsia" w:ascii="仿宋_GB2312" w:hAnsi="仿宋_GB2312" w:eastAsia="仿宋_GB2312" w:cs="仿宋_GB2312"/>
          <w:sz w:val="32"/>
          <w:szCs w:val="32"/>
        </w:rPr>
        <w:t>，划定15米×5米区域。中间标志杆间距2米（图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）。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测试方法：</w:t>
      </w:r>
      <w:r>
        <w:rPr>
          <w:rFonts w:hint="eastAsia" w:ascii="仿宋_GB2312" w:hAnsi="仿宋_GB2312" w:eastAsia="仿宋_GB2312" w:cs="仿宋_GB2312"/>
          <w:sz w:val="32"/>
          <w:szCs w:val="32"/>
        </w:rPr>
        <w:t>听测评员口令后，从起始点采用站立式起跑，按照规定路线，依次越过各标志杆后冲过终点。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评分方法：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测评员记录其所用时间。漏杆或者没有按照既定路线则没有成绩，测试两次，记录最佳成绩。</w:t>
      </w:r>
    </w:p>
    <w:p>
      <w:pPr>
        <w:pStyle w:val="6"/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"C:\\Users\\MI\\Administrator\\AppData\\Roaming\\Tencent\\Users\\46824759\\QQ\\WinTemp\\RichOle\\Z]8A`(%@3X~6I1M}$WGXU95.png"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"C:\\Users\\sunxingzhe\\Administrator\\AppData\\Roaming\\Tencent\\Users\\46824759\\QQ\\WinTemp\\RichOle\\Z]8A`(%@3X~6I1M}$WGXU95.png"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"C:\\Users\\sunxingzhe\\Administrator\\AppData\\Roaming\\Tencent\\Users\\46824759\\QQ\\WinTemp\\RichOle\\Z]8A`(%@3X~6I1M}$WGXU95.png"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"C:\\Users\\sunxingzhe\\Administrator\\AppData\\Roaming\\Tencent\\Users\\46824759\\QQ\\WinTemp\\RichOle\\Z]8A`(%@3X~6I1M}$WGXU95.png"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INCLUDEPICTURE  "C:\\Users\\MI\\Administrator\\AppData\\Roaming\\Tencent\\Users\\46824759\\QQ\\WinTemp\\RichOle\\Z]8A`(%@3X~6I1M}$WGXU95.png" \* MERGEFORMATINET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3974465" cy="1828165"/>
            <wp:effectExtent l="0" t="0" r="6985" b="6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4465" cy="1828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</w:p>
    <w:p>
      <w:pPr>
        <w:pStyle w:val="6"/>
        <w:jc w:val="center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32"/>
        </w:rPr>
        <w:t>（图</w:t>
      </w:r>
      <w:r>
        <w:rPr>
          <w:rFonts w:hint="eastAsia" w:ascii="仿宋_GB2312" w:hAnsi="仿宋_GB2312" w:eastAsia="仿宋_GB2312" w:cs="仿宋_GB2312"/>
          <w:color w:val="auto"/>
          <w:sz w:val="28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auto"/>
          <w:sz w:val="28"/>
          <w:szCs w:val="32"/>
        </w:rPr>
        <w:t>）</w:t>
      </w:r>
    </w:p>
    <w:p>
      <w:pPr>
        <w:pStyle w:val="6"/>
        <w:jc w:val="center"/>
        <w:rPr>
          <w:rFonts w:hint="eastAsia" w:ascii="仿宋_GB2312" w:hAnsi="仿宋_GB2312" w:eastAsia="仿宋_GB2312" w:cs="仿宋_GB2312"/>
          <w:b w:val="0"/>
          <w:bCs/>
          <w:color w:val="auto"/>
          <w:sz w:val="22"/>
          <w:szCs w:val="36"/>
          <w:lang w:val="en-US" w:eastAsia="zh-CN"/>
        </w:rPr>
      </w:pPr>
    </w:p>
    <w:p>
      <w:pPr>
        <w:pStyle w:val="6"/>
        <w:jc w:val="center"/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sectPr>
          <w:pgSz w:w="11906" w:h="16838"/>
          <w:pgMar w:top="1701" w:right="1474" w:bottom="1701" w:left="1587" w:header="720" w:footer="720" w:gutter="0"/>
          <w:pgNumType w:fmt="decimal"/>
          <w:cols w:space="720" w:num="1"/>
          <w:docGrid w:type="linesAndChars" w:linePitch="312" w:charSpace="0"/>
        </w:sectPr>
      </w:pPr>
    </w:p>
    <w:bookmarkEnd w:id="1"/>
    <w:p>
      <w:pPr>
        <w:pStyle w:val="6"/>
        <w:jc w:val="center"/>
        <w:rPr>
          <w:rFonts w:hint="eastAsia" w:ascii="方正小标宋简体" w:hAnsi="方正小标宋简体" w:eastAsia="方正小标宋简体" w:cs="方正小标宋简体"/>
          <w:b/>
          <w:color w:val="auto"/>
          <w:sz w:val="44"/>
          <w:szCs w:val="28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28"/>
        </w:rPr>
        <w:t>守门员测试方法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一、脚踢远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测试场地: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11人场地内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（图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听测试员口令后，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测试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起点起脚踢远，起点到落球点之间的距离为最终成绩，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测试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起点起脚踢远，球的落点在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规定区域内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宽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约为10米）为有效。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评分方法: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测试员记录最终距离，对照评分标准给予相应成绩，每人测试三次，记录最佳成绩，越过起点线或者超规定区域则成绩无效。</w:t>
      </w:r>
    </w:p>
    <w:p>
      <w:pPr>
        <w:jc w:val="center"/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drawing>
          <wp:inline distT="0" distB="0" distL="114300" distR="114300">
            <wp:extent cx="4733925" cy="1875790"/>
            <wp:effectExtent l="0" t="0" r="9525" b="10160"/>
            <wp:docPr id="10" name="图片 10" descr="430607187600088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3060718760008857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图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二、手抛远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测试场地: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11人场地内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图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听测试员口令后，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测试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起点用惯用手抛远，起点到落球点之间的距离为最终成绩，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测试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起点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手抛掷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远，球的落点在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规定区域内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宽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约为10米）为有效。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评分方法: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测试员记录最终距离，对照评分标准给予相应成绩，每人测试三次，记录最佳成绩，越过起点线或者规定区域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以外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则成绩无效。</w:t>
      </w:r>
    </w:p>
    <w:p>
      <w:pPr>
        <w:jc w:val="center"/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drawing>
          <wp:inline distT="0" distB="0" distL="114300" distR="114300">
            <wp:extent cx="4535170" cy="1854200"/>
            <wp:effectExtent l="0" t="0" r="17780" b="12700"/>
            <wp:docPr id="11" name="图片 11" descr="196671931983835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9667193198383548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图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四、球门间移动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测试场地: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11人制球门内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图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测试方法: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员站在球门线中点位置，测试员发出口令后开始计时，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员快速移动，单手交替触摸左侧和右侧立柱的标志物各5次，最后一次触杆后停止计时。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评分方法:</w:t>
      </w:r>
      <w:bookmarkStart w:id="2" w:name="_Toc407089469"/>
      <w:bookmarkStart w:id="3" w:name="_Toc444458520"/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测试员计时，对照评分标准给予相应成绩，每人测试一次，漏触杆则成绩无效。</w:t>
      </w:r>
    </w:p>
    <w:p>
      <w:pPr>
        <w:jc w:val="center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drawing>
          <wp:inline distT="0" distB="0" distL="114300" distR="114300">
            <wp:extent cx="3960495" cy="2088515"/>
            <wp:effectExtent l="0" t="0" r="1905" b="6985"/>
            <wp:docPr id="7" name="图片 7" descr="球门间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球门间移动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bCs/>
          <w:color w:val="auto"/>
          <w:sz w:val="28"/>
          <w:szCs w:val="16"/>
          <w:lang w:eastAsia="zh-CN"/>
        </w:rPr>
      </w:pPr>
      <w:r>
        <w:rPr>
          <w:rFonts w:hint="eastAsia" w:ascii="仿宋_GB2312" w:hAnsi="仿宋_GB2312" w:eastAsia="仿宋_GB2312" w:cs="仿宋_GB2312"/>
          <w:bCs/>
          <w:color w:val="auto"/>
          <w:sz w:val="28"/>
          <w:szCs w:val="16"/>
          <w:lang w:eastAsia="zh-CN"/>
        </w:rPr>
        <w:t>（</w:t>
      </w:r>
      <w:r>
        <w:rPr>
          <w:rFonts w:hint="eastAsia" w:ascii="仿宋_GB2312" w:hAnsi="仿宋_GB2312" w:eastAsia="仿宋_GB2312" w:cs="仿宋_GB2312"/>
          <w:bCs/>
          <w:color w:val="auto"/>
          <w:sz w:val="28"/>
          <w:szCs w:val="16"/>
        </w:rPr>
        <w:t>图</w:t>
      </w:r>
      <w:r>
        <w:rPr>
          <w:rFonts w:hint="eastAsia" w:ascii="仿宋_GB2312" w:hAnsi="仿宋_GB2312" w:eastAsia="仿宋_GB2312" w:cs="仿宋_GB2312"/>
          <w:bCs/>
          <w:color w:val="auto"/>
          <w:sz w:val="28"/>
          <w:szCs w:val="16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Cs/>
          <w:color w:val="auto"/>
          <w:sz w:val="28"/>
          <w:szCs w:val="16"/>
          <w:lang w:eastAsia="zh-CN"/>
        </w:rPr>
        <w:t>）</w:t>
      </w:r>
    </w:p>
    <w:p>
      <w:pPr>
        <w:pStyle w:val="6"/>
        <w:jc w:val="center"/>
        <w:rPr>
          <w:rFonts w:hint="eastAsia" w:ascii="方正小标宋简体" w:hAnsi="方正小标宋简体" w:eastAsia="方正小标宋简体" w:cs="方正小标宋简体"/>
          <w:b/>
          <w:color w:val="auto"/>
          <w:sz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lang w:eastAsia="zh-CN"/>
        </w:rPr>
        <w:t>参加测试人员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</w:rPr>
        <w:t>要求</w:t>
      </w:r>
      <w:bookmarkEnd w:id="2"/>
      <w:bookmarkEnd w:id="3"/>
    </w:p>
    <w:p>
      <w:pPr>
        <w:pStyle w:val="6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一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、队员装备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参加测试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学生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进行测试时，禁止佩戴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与测试无关的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物品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进入测试场地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自备足球服和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足球鞋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，但不得带有学校名称、俱乐部名称、姓名等标识性和提醒性的足球服和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足球鞋。进行比赛时应严格按照足球竞赛规则的要求检查装备，并佩戴护腿板。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测试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准备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参加测试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学生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需在测试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前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自行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进行不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于15分钟的热身活动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sectPr>
          <w:pgSz w:w="11906" w:h="16838"/>
          <w:pgMar w:top="1701" w:right="1474" w:bottom="1701" w:left="1587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tabs>
        <w:tab w:val="left" w:pos="1086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- 26 -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- 26 -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25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25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yYzc1N2JmOWU1ZDNmMTQzZGM4ODU4ZTI3YTE3NmQifQ=="/>
  </w:docVars>
  <w:rsids>
    <w:rsidRoot w:val="0E307F7C"/>
    <w:rsid w:val="01735FDA"/>
    <w:rsid w:val="09770A5C"/>
    <w:rsid w:val="0E0B224A"/>
    <w:rsid w:val="0E307F7C"/>
    <w:rsid w:val="189F31F0"/>
    <w:rsid w:val="1AD37B28"/>
    <w:rsid w:val="24817DAF"/>
    <w:rsid w:val="254E6479"/>
    <w:rsid w:val="3F833A94"/>
    <w:rsid w:val="4C336C32"/>
    <w:rsid w:val="51B12A6E"/>
    <w:rsid w:val="6DA87DF2"/>
    <w:rsid w:val="72FF5FCF"/>
    <w:rsid w:val="75A05ED4"/>
    <w:rsid w:val="78731B0F"/>
    <w:rsid w:val="79143A9B"/>
    <w:rsid w:val="7D774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4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 Spacing"/>
    <w:qFormat/>
    <w:uiPriority w:val="1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../../Administrator/AppData/Roaming/Tencent/Users/46824759/QQ/WinTemp/RichOle/Z%2525252525252525252525252525252525252525252525252525255d8A%25252525252525252525252525252525252525252525252525252560(%25252525252525252525252525252525252525252525252525252525@3X~6I1M%2525252525252525252525252525252525252525252525252525257d$WGXU95.png" TargetMode="Externa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巴彦淖尔市教育信息中心</Company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2024-07-02T08:54:00Z</dcterms:created>
  <dc:creator>徐晓航</dc:creator>
  <cp:lastModifiedBy>徐晓航</cp:lastModifiedBy>
  <dcterms:modified xsi:type="dcterms:W3CDTF">2024-07-02T08:54:43Z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E7E91C31B2FA4056BFAFE5652F4B3398_11</vt:lpwstr>
  </property>
</Properties>
</file>