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eastAsia="黑体"/>
          <w:sz w:val="44"/>
        </w:rPr>
      </w:pPr>
    </w:p>
    <w:p>
      <w:pPr>
        <w:spacing w:line="700" w:lineRule="exact"/>
        <w:jc w:val="center"/>
        <w:rPr>
          <w:rFonts w:eastAsia="黑体"/>
          <w:sz w:val="44"/>
        </w:rPr>
      </w:pPr>
    </w:p>
    <w:p>
      <w:pPr>
        <w:spacing w:line="700" w:lineRule="exact"/>
        <w:jc w:val="center"/>
        <w:rPr>
          <w:rFonts w:eastAsia="黑体"/>
          <w:sz w:val="44"/>
        </w:rPr>
      </w:pPr>
    </w:p>
    <w:p>
      <w:pPr>
        <w:spacing w:line="700" w:lineRule="exact"/>
        <w:jc w:val="center"/>
        <w:rPr>
          <w:rFonts w:eastAsia="黑体"/>
          <w:sz w:val="44"/>
        </w:rPr>
      </w:pPr>
    </w:p>
    <w:p>
      <w:pPr>
        <w:spacing w:line="700" w:lineRule="exact"/>
        <w:jc w:val="center"/>
        <w:rPr>
          <w:rFonts w:ascii="宋体" w:hAnsi="宋体" w:cs="仿宋_GB2312"/>
          <w:sz w:val="32"/>
          <w:szCs w:val="32"/>
        </w:rPr>
      </w:pPr>
      <w:r>
        <w:rPr>
          <w:rFonts w:ascii="宋体" w:hAnsi="宋体"/>
          <w:b/>
          <w:sz w:val="40"/>
          <w:szCs w:val="40"/>
        </w:rPr>
        <w:t>申报</w:t>
      </w:r>
      <w:r>
        <w:rPr>
          <w:rFonts w:hint="eastAsia" w:ascii="宋体" w:hAnsi="宋体"/>
          <w:b/>
          <w:sz w:val="40"/>
          <w:szCs w:val="40"/>
          <w:lang w:eastAsia="zh-CN"/>
        </w:rPr>
        <w:t>全国</w:t>
      </w:r>
      <w:r>
        <w:rPr>
          <w:rFonts w:hint="eastAsia" w:ascii="宋体" w:hAnsi="宋体"/>
          <w:b/>
          <w:sz w:val="40"/>
          <w:szCs w:val="40"/>
          <w:lang w:val="en-US" w:eastAsia="zh-CN"/>
        </w:rPr>
        <w:t>教育系统先进工作者</w:t>
      </w:r>
      <w:r>
        <w:rPr>
          <w:rFonts w:ascii="宋体" w:hAnsi="宋体"/>
          <w:b/>
          <w:sz w:val="40"/>
          <w:szCs w:val="40"/>
        </w:rPr>
        <w:t>事迹材料</w:t>
      </w:r>
    </w:p>
    <w:p>
      <w:pPr>
        <w:spacing w:line="700" w:lineRule="exact"/>
        <w:jc w:val="center"/>
        <w:rPr>
          <w:rFonts w:eastAsia="黑体"/>
          <w:sz w:val="44"/>
        </w:rPr>
      </w:pPr>
    </w:p>
    <w:p>
      <w:pPr>
        <w:spacing w:line="700" w:lineRule="exact"/>
        <w:jc w:val="center"/>
        <w:rPr>
          <w:rFonts w:eastAsia="黑体"/>
          <w:sz w:val="44"/>
        </w:rPr>
      </w:pPr>
    </w:p>
    <w:p>
      <w:pPr>
        <w:spacing w:line="700" w:lineRule="exact"/>
        <w:jc w:val="center"/>
        <w:rPr>
          <w:rFonts w:eastAsia="黑体"/>
          <w:sz w:val="44"/>
        </w:rPr>
      </w:pPr>
    </w:p>
    <w:p>
      <w:pPr>
        <w:spacing w:line="700" w:lineRule="exact"/>
        <w:jc w:val="center"/>
        <w:rPr>
          <w:rFonts w:eastAsia="黑体"/>
          <w:sz w:val="44"/>
        </w:rPr>
      </w:pPr>
    </w:p>
    <w:p>
      <w:pPr>
        <w:spacing w:line="700" w:lineRule="exact"/>
        <w:jc w:val="center"/>
        <w:rPr>
          <w:rFonts w:eastAsia="黑体"/>
          <w:sz w:val="44"/>
        </w:rPr>
      </w:pPr>
    </w:p>
    <w:p>
      <w:pPr>
        <w:spacing w:line="700" w:lineRule="exact"/>
        <w:jc w:val="center"/>
        <w:rPr>
          <w:rFonts w:eastAsia="黑体"/>
          <w:sz w:val="44"/>
        </w:rPr>
      </w:pPr>
    </w:p>
    <w:p>
      <w:pPr>
        <w:spacing w:line="700" w:lineRule="exact"/>
        <w:jc w:val="center"/>
        <w:rPr>
          <w:rFonts w:eastAsia="黑体"/>
          <w:sz w:val="44"/>
        </w:rPr>
      </w:pPr>
      <w:r>
        <w:rPr>
          <w:rFonts w:hint="eastAsia" w:ascii="宋体" w:hAnsi="宋体"/>
          <w:b/>
          <w:sz w:val="32"/>
          <w:szCs w:val="32"/>
          <w:lang w:val="en-US" w:eastAsia="zh-CN"/>
        </w:rPr>
        <w:t>宋  铁</w:t>
      </w:r>
    </w:p>
    <w:p>
      <w:pPr>
        <w:spacing w:line="700" w:lineRule="exact"/>
        <w:jc w:val="center"/>
        <w:rPr>
          <w:rFonts w:hint="eastAsia" w:ascii="宋体" w:hAnsi="宋体" w:eastAsia="宋体" w:cs="宋体"/>
          <w:b/>
          <w:bCs/>
          <w:sz w:val="32"/>
          <w:szCs w:val="32"/>
          <w:lang w:eastAsia="zh-CN"/>
        </w:rPr>
      </w:pPr>
      <w:r>
        <w:rPr>
          <w:rFonts w:ascii="宋体" w:hAnsi="宋体" w:cs="宋体"/>
          <w:b/>
          <w:bCs/>
          <w:sz w:val="32"/>
          <w:szCs w:val="32"/>
        </w:rPr>
        <w:t>巴彦淖尔市</w:t>
      </w:r>
      <w:r>
        <w:rPr>
          <w:rFonts w:hint="eastAsia" w:ascii="宋体" w:hAnsi="宋体" w:cs="宋体"/>
          <w:b/>
          <w:bCs/>
          <w:sz w:val="32"/>
          <w:szCs w:val="32"/>
          <w:lang w:val="en-US" w:eastAsia="zh-CN"/>
        </w:rPr>
        <w:t>教育局</w:t>
      </w:r>
    </w:p>
    <w:p>
      <w:pPr>
        <w:spacing w:line="700" w:lineRule="exact"/>
        <w:jc w:val="center"/>
        <w:rPr>
          <w:rFonts w:ascii="宋体" w:hAnsi="宋体" w:cs="宋体"/>
          <w:b/>
          <w:bCs/>
          <w:sz w:val="32"/>
          <w:szCs w:val="32"/>
        </w:rPr>
      </w:pPr>
      <w:r>
        <w:rPr>
          <w:rFonts w:ascii="宋体" w:hAnsi="宋体" w:cs="宋体"/>
          <w:b/>
          <w:bCs/>
          <w:sz w:val="32"/>
          <w:szCs w:val="32"/>
        </w:rPr>
        <w:t>201</w:t>
      </w:r>
      <w:r>
        <w:rPr>
          <w:rFonts w:hint="eastAsia" w:ascii="宋体" w:hAnsi="宋体" w:cs="宋体"/>
          <w:b/>
          <w:bCs/>
          <w:sz w:val="32"/>
          <w:szCs w:val="32"/>
          <w:lang w:val="en-US" w:eastAsia="zh-CN"/>
        </w:rPr>
        <w:t>9</w:t>
      </w:r>
      <w:r>
        <w:rPr>
          <w:rFonts w:ascii="宋体" w:hAnsi="宋体" w:cs="宋体"/>
          <w:b/>
          <w:bCs/>
          <w:sz w:val="32"/>
          <w:szCs w:val="32"/>
        </w:rPr>
        <w:t>年</w:t>
      </w:r>
      <w:r>
        <w:rPr>
          <w:rFonts w:hint="eastAsia" w:ascii="宋体" w:hAnsi="宋体" w:cs="宋体"/>
          <w:b/>
          <w:bCs/>
          <w:sz w:val="32"/>
          <w:szCs w:val="32"/>
          <w:lang w:val="en-US" w:eastAsia="zh-CN"/>
        </w:rPr>
        <w:t>7</w:t>
      </w:r>
      <w:r>
        <w:rPr>
          <w:rFonts w:ascii="宋体" w:hAnsi="宋体" w:cs="宋体"/>
          <w:b/>
          <w:bCs/>
          <w:sz w:val="32"/>
          <w:szCs w:val="32"/>
        </w:rPr>
        <w:t>月</w:t>
      </w:r>
      <w:r>
        <w:rPr>
          <w:rFonts w:hint="eastAsia" w:ascii="宋体" w:hAnsi="宋体" w:cs="宋体"/>
          <w:b/>
          <w:bCs/>
          <w:sz w:val="32"/>
          <w:szCs w:val="32"/>
          <w:lang w:val="en-US" w:eastAsia="zh-CN"/>
        </w:rPr>
        <w:t>5</w:t>
      </w:r>
      <w:bookmarkStart w:id="0" w:name="_GoBack"/>
      <w:bookmarkEnd w:id="0"/>
      <w:r>
        <w:rPr>
          <w:rFonts w:ascii="宋体" w:hAnsi="宋体" w:cs="宋体"/>
          <w:b/>
          <w:bCs/>
          <w:sz w:val="32"/>
          <w:szCs w:val="32"/>
        </w:rPr>
        <w:t>日</w:t>
      </w:r>
    </w:p>
    <w:p>
      <w:pPr>
        <w:spacing w:line="700" w:lineRule="exact"/>
        <w:jc w:val="center"/>
        <w:rPr>
          <w:rFonts w:eastAsia="黑体"/>
          <w:sz w:val="44"/>
        </w:rPr>
      </w:pPr>
    </w:p>
    <w:p>
      <w:pPr>
        <w:spacing w:line="700" w:lineRule="exact"/>
        <w:jc w:val="center"/>
        <w:rPr>
          <w:rFonts w:eastAsia="黑体"/>
          <w:sz w:val="44"/>
        </w:rPr>
      </w:pPr>
    </w:p>
    <w:p>
      <w:pPr>
        <w:spacing w:line="700" w:lineRule="exact"/>
        <w:jc w:val="center"/>
        <w:rPr>
          <w:rFonts w:eastAsia="黑体"/>
          <w:sz w:val="44"/>
        </w:rPr>
      </w:pPr>
    </w:p>
    <w:p>
      <w:pPr>
        <w:spacing w:line="700" w:lineRule="exact"/>
        <w:rPr>
          <w:rFonts w:eastAsia="黑体"/>
          <w:sz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b w:val="0"/>
          <w:bCs/>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宋铁同志自1980年从巴盟师范学校毕业后就参加教育工作，至今已经39年，把自己的青春年华全部奉献于教育事业。他亲身经历并见证了改革开放40年来，我市乃至全国、全区教育改革发展的点点滴滴、光辉历程和卓越成绩。他本人也一步一个脚印，从农村到城镇，从普教到职教、从教学到后勤，从辅导员到教导主任，从校长到局长（区），从副局长（市）到市教育局局长的工作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宋铁同志理想信念坚定，政治素质过硬，道德品行高尚，为人公道正派，能够严格遵守宪法法规，始终做到廉洁自律。他教育经历丰富，理论功底扎实，始终坚持改革创新，努力做到勤学好思。不论在哪个岗位上，他都敢闯敢试，勇于担当，解决了许多突出问题，破解了许多突出难题，开创了许多发展路径，为我市教育改革发展做出了大量卓有成效的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八十年代，任初中化学教师期间，带头进行课堂教学改革，受到临河教研室的充分肯定并在全市推广；1985年8月任临河市狼山中学校长期间，坚持上讲台任课，是全盟农村职业教育的创办人，开创的农村职教“3+1”模式和“有偿支农劳动”在全区推广（1989年，自治区政府召开现场会，推广农村职教“3+1”模式）。实行“三制一体化”改革（校长负责制、教职工聘任制、结构工资制），于1992年在临河市全面推广。1982年、1986年两次被评为临河县优秀教师，1983年被评为临河县优秀少先队辅导员，1989年被评为临河市优秀党员、获全盟晋升工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九十年代，在临河市第四中学任副校长时亲自制定了千分量化考核方案，使四中走出困境，现在成为当地名校；1995年任临河区第三中学校长，全面推进改革，使临河市第三中学成为临河区首个自治区文明学校，连续四年教育系统考核第一名，获全国全区全盟40多个奖项，使学校由弱校发展成为后来有106个班的大校。1999年通过“一推双考”任临河市教育局局长，着力夯实“两基”基础，全面推进素质教育，成为全区12个示范县之一。在全盟独创了风筝节、艺体节、花卉节、科技创新节等四大节，特别是创立艺体节，至今已延续19年，教育局连续四年均获得临河市委、政府和盟教育处年度考核第一名。1990年至1991年均被评为临河市、全盟优秀党员，1997年获临河市委政府“园丁杯”教师奖，1998年被盟委、行署授予“先进教育工作者”称号，2001年被评为临河市优秀科级领导干部，2000年被评为临河市劳动模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sz w:val="32"/>
          <w:szCs w:val="32"/>
        </w:rPr>
      </w:pPr>
      <w:r>
        <w:rPr>
          <w:rFonts w:hint="eastAsia" w:ascii="仿宋_GB2312" w:eastAsia="仿宋_GB2312"/>
          <w:b w:val="0"/>
          <w:bCs/>
          <w:sz w:val="32"/>
          <w:szCs w:val="32"/>
        </w:rPr>
        <w:t>2003年，任市教育局副局长，分管的安全工作形成了研究成果，特别是他亲自总结提炼的学校安全工作“十五防”成为全市学校安全工作的抓手。2008年分管教学业务工作，果断提出要规范中小学办学行为，停止了小学、初中周六上课，减轻学生过重课业负担。此外，在全区率先实行“多元化评价、等级制呈现、多样化招生”的中考改革。2006年被评为全区黄炎培中华职业教育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b w:val="0"/>
          <w:bCs/>
          <w:sz w:val="32"/>
          <w:szCs w:val="32"/>
        </w:rPr>
      </w:pPr>
      <w:r>
        <w:rPr>
          <w:rFonts w:hint="eastAsia" w:ascii="仿宋_GB2312" w:eastAsia="仿宋_GB2312"/>
          <w:b w:val="0"/>
          <w:bCs/>
          <w:sz w:val="32"/>
          <w:szCs w:val="32"/>
        </w:rPr>
        <w:t>2014年1月，任巴彦淖尔市教育局局长以来，提出“巩固成果、夯实基础、创新理念、提高质量”的总思路，形成了规范办学行为“40条”、德育工作“30条”、体卫艺工作“35条”、师德师风建设“25条”、小学生减负“10条”、初中生减负“10条”以及实行校长教师交流轮岗、“名校带弱校”、“城乡联盟办学”等一系列教育发展的思路、理念、方法、措施等。全市7个旗县区义务教育均衡发展率先在全区以优异成绩通过国家验收。城乡教育一体化发展、教育综合改革、义务教育均衡发展先后两次在全国会议上做经验交流，中国教育报刊社正在采写我市城乡义务教育一体化发展的经验和做法。在他的主持下，持续完善中考改革办法，将75%的普通高中统招生指标分配到区域内初中校（全区最高），普职比达5.5:4.5（全区第一）。教育部中考改革座谈会邀请我市参加并做专题发言（全区唯一）。学生综合素质信息化评价管理系统被评选为全国教育管理信息化应用优秀案例（全国15个）。此外，义务教育质量监测、督学责任区挂牌督导、德育、教育信息化建设等工作走在全区乃至全国前列。自任市教育局局长以来，全市教育工作连年在自治区教育厅年度考评中名列前茅。</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仿宋_GB2312" w:eastAsia="仿宋_GB2312"/>
          <w:b w:val="0"/>
          <w:bCs/>
          <w:sz w:val="32"/>
          <w:szCs w:val="32"/>
        </w:rPr>
      </w:pPr>
      <w:r>
        <w:rPr>
          <w:rFonts w:hint="eastAsia" w:ascii="仿宋_GB2312" w:eastAsia="仿宋_GB2312"/>
          <w:b w:val="0"/>
          <w:bCs/>
          <w:sz w:val="32"/>
          <w:szCs w:val="32"/>
        </w:rPr>
        <w:t>宋铁同志参加工作以来，始终坚持学习学习再学习，不断提高自身素质，1997年-1999年参加内蒙古师范大学教育管理硕士学位课程学习，2006年-2009年又参加内蒙古党校研究生班学习，均顺利毕业。2001年、2007年、2016年分别参加全国县、市级教育局长培训；2009年9月至2010年11月参加清华大学教育领导力提升培训班。该同志还被内蒙古师范大学聘任为全区中小学校长培训专家。先后有10多篇教育论文评奖或发表，如《教师管理的精髓》发表在内蒙古教育学院学报，《为21世纪谋篇布局》在2000年中美教育研讨会上交流并发表在内蒙古教育学院学报等。此外，该同志还积极参加社会活动，曾兼任内蒙古农牧职业教育学会会长、市科协副主席、市红十字会副会长、市足协副主席等，均做出了应有贡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z w:val="32"/>
          <w:szCs w:val="32"/>
        </w:rPr>
      </w:pPr>
    </w:p>
    <w:sectPr>
      <w:pgSz w:w="11906" w:h="16838"/>
      <w:pgMar w:top="2154"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B2162"/>
    <w:rsid w:val="0F71003A"/>
    <w:rsid w:val="121070FC"/>
    <w:rsid w:val="13AB2162"/>
    <w:rsid w:val="15227B40"/>
    <w:rsid w:val="6C172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2019-07-11T00:59:00Z</dcterms:created>
  <dc:creator>Ghost</dc:creator>
  <cp:lastModifiedBy>Ghost</cp:lastModifiedBy>
  <cp:lastPrinted>2019-07-11T09:59:09Z</cp:lastPrinted>
  <dcterms:modified xsi:type="dcterms:W3CDTF">2019-07-11T09:59:13Z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