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附件3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教学设计及案例统计一览表</w:t>
      </w:r>
    </w:p>
    <w:p>
      <w:pPr>
        <w:widowControl/>
        <w:spacing w:line="360" w:lineRule="auto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统一用Exc表格电子版报送</w:t>
      </w:r>
    </w:p>
    <w:tbl>
      <w:tblPr>
        <w:tblStyle w:val="2"/>
        <w:tblW w:w="83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1827"/>
        <w:gridCol w:w="853"/>
        <w:gridCol w:w="1515"/>
        <w:gridCol w:w="1755"/>
        <w:gridCol w:w="17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报送单位：          评审单位：       报送日期：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教学设计及 案例题目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15A35"/>
    <w:rsid w:val="6FB1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2019-04-25T09:06:00Z</dcterms:created>
  <dc:creator>郭满库</dc:creator>
  <cp:lastModifiedBy>郭满库</cp:lastModifiedBy>
  <dcterms:modified xsi:type="dcterms:W3CDTF">2019-04-25T09:07:47Z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