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71" w:rsidRPr="00696F8C" w:rsidRDefault="000372E1" w:rsidP="000D7143">
      <w:pPr>
        <w:pStyle w:val="aa"/>
        <w:rPr>
          <w:rFonts w:ascii="黑体" w:eastAsia="黑体" w:hAnsi="黑体"/>
          <w:sz w:val="44"/>
          <w:szCs w:val="44"/>
        </w:rPr>
      </w:pPr>
      <w:bookmarkStart w:id="0" w:name="_GoBack"/>
      <w:bookmarkEnd w:id="0"/>
      <w:r w:rsidRPr="00696F8C">
        <w:rPr>
          <w:rFonts w:ascii="黑体" w:eastAsia="黑体" w:hAnsi="黑体" w:hint="eastAsia"/>
          <w:sz w:val="44"/>
          <w:szCs w:val="44"/>
        </w:rPr>
        <w:t>巴彦淖尔市</w:t>
      </w:r>
      <w:r w:rsidR="00C21B1E" w:rsidRPr="00696F8C">
        <w:rPr>
          <w:rFonts w:ascii="黑体" w:eastAsia="黑体" w:hAnsi="黑体" w:hint="eastAsia"/>
          <w:sz w:val="44"/>
          <w:szCs w:val="44"/>
        </w:rPr>
        <w:t>教育城域网建设规范（</w:t>
      </w:r>
      <w:r w:rsidR="00585E29" w:rsidRPr="00696F8C">
        <w:rPr>
          <w:rFonts w:ascii="黑体" w:eastAsia="黑体" w:hAnsi="黑体" w:hint="eastAsia"/>
          <w:sz w:val="44"/>
          <w:szCs w:val="44"/>
        </w:rPr>
        <w:t>讨论稿</w:t>
      </w:r>
      <w:r w:rsidR="00C21B1E" w:rsidRPr="00696F8C">
        <w:rPr>
          <w:rFonts w:ascii="黑体" w:eastAsia="黑体" w:hAnsi="黑体" w:hint="eastAsia"/>
          <w:sz w:val="44"/>
          <w:szCs w:val="44"/>
        </w:rPr>
        <w:t>）</w:t>
      </w:r>
    </w:p>
    <w:p w:rsidR="00585E29" w:rsidRDefault="00585E29" w:rsidP="00AC2E96">
      <w:pPr>
        <w:widowControl/>
        <w:spacing w:before="100" w:beforeAutospacing="1" w:after="100" w:afterAutospacing="1"/>
        <w:jc w:val="center"/>
        <w:rPr>
          <w:rFonts w:ascii="方正小标宋简体" w:eastAsia="方正小标宋简体"/>
          <w:sz w:val="44"/>
          <w:szCs w:val="44"/>
        </w:rPr>
      </w:pPr>
      <w:r>
        <w:rPr>
          <w:rFonts w:hint="eastAsia"/>
        </w:rPr>
        <w:t>（二</w:t>
      </w:r>
      <w:r>
        <w:rPr>
          <w:rFonts w:hint="eastAsia"/>
        </w:rPr>
        <w:t>0</w:t>
      </w:r>
      <w:r>
        <w:rPr>
          <w:rFonts w:hint="eastAsia"/>
        </w:rPr>
        <w:t>一八年六月二十二日）</w:t>
      </w:r>
    </w:p>
    <w:p w:rsidR="007267F6" w:rsidRPr="00BD626E" w:rsidRDefault="00E24885" w:rsidP="007E1DBC">
      <w:pPr>
        <w:pStyle w:val="1"/>
      </w:pPr>
      <w:bookmarkStart w:id="1" w:name="_Toc372624922"/>
      <w:r>
        <w:rPr>
          <w:rFonts w:hint="eastAsia"/>
        </w:rPr>
        <w:t>第一章</w:t>
      </w:r>
      <w:r>
        <w:rPr>
          <w:rFonts w:hint="eastAsia"/>
        </w:rPr>
        <w:t xml:space="preserve"> </w:t>
      </w:r>
      <w:r w:rsidR="007267F6" w:rsidRPr="00BD626E">
        <w:rPr>
          <w:rFonts w:hint="eastAsia"/>
        </w:rPr>
        <w:t>总</w:t>
      </w:r>
      <w:r w:rsidR="007267F6" w:rsidRPr="00BD626E">
        <w:t xml:space="preserve"> </w:t>
      </w:r>
      <w:r w:rsidR="007267F6" w:rsidRPr="00BD626E">
        <w:t>则</w:t>
      </w:r>
    </w:p>
    <w:p w:rsidR="007267F6" w:rsidRDefault="007267F6" w:rsidP="007267F6">
      <w:pPr>
        <w:adjustRightInd w:val="0"/>
        <w:snapToGrid w:val="0"/>
        <w:spacing w:before="350" w:after="350" w:line="500" w:lineRule="exact"/>
        <w:ind w:firstLineChars="225" w:firstLine="745"/>
        <w:rPr>
          <w:rFonts w:ascii="仿宋_GB2312"/>
          <w:sz w:val="32"/>
        </w:rPr>
      </w:pPr>
      <w:r w:rsidRPr="00595568">
        <w:rPr>
          <w:rFonts w:ascii="仿宋_GB2312" w:hint="eastAsia"/>
          <w:b/>
          <w:sz w:val="32"/>
        </w:rPr>
        <w:t>第一条</w:t>
      </w:r>
      <w:r>
        <w:rPr>
          <w:rFonts w:ascii="仿宋_GB2312" w:hint="eastAsia"/>
          <w:sz w:val="32"/>
        </w:rPr>
        <w:t xml:space="preserve">　为规范巴彦淖尔市教育城域网建设、加强管理和应用，推进学校教育信息化2.0建设，以信息化带动教育现代化，根据教育部《教育信息化十年发展规划（2011——2020年） 》精神，教育部《2018年教育信息化和网络安全工作要点》等文件精神和国家、自治区信息化建设的总体要求，结合我市实际情况，特制定《巴彦淖尔市教育城域网建设规范》。</w:t>
      </w:r>
    </w:p>
    <w:p w:rsidR="007267F6" w:rsidRPr="0082010B" w:rsidRDefault="007267F6" w:rsidP="007267F6">
      <w:pPr>
        <w:adjustRightInd w:val="0"/>
        <w:snapToGrid w:val="0"/>
        <w:spacing w:before="350" w:after="350" w:line="500" w:lineRule="exact"/>
        <w:ind w:firstLineChars="225" w:firstLine="745"/>
        <w:rPr>
          <w:rFonts w:ascii="仿宋_GB2312"/>
          <w:sz w:val="32"/>
        </w:rPr>
      </w:pPr>
      <w:r w:rsidRPr="00595568">
        <w:rPr>
          <w:rFonts w:ascii="仿宋_GB2312" w:hint="eastAsia"/>
          <w:b/>
          <w:sz w:val="32"/>
        </w:rPr>
        <w:t>第二条</w:t>
      </w:r>
      <w:r w:rsidRPr="0082010B">
        <w:rPr>
          <w:rFonts w:ascii="仿宋_GB2312" w:hint="eastAsia"/>
          <w:sz w:val="32"/>
        </w:rPr>
        <w:t xml:space="preserve">　各</w:t>
      </w:r>
      <w:r>
        <w:rPr>
          <w:rFonts w:ascii="仿宋_GB2312" w:hint="eastAsia"/>
          <w:sz w:val="32"/>
        </w:rPr>
        <w:t>旗县区教育城域网建设</w:t>
      </w:r>
      <w:r w:rsidRPr="0082010B">
        <w:rPr>
          <w:rFonts w:ascii="仿宋_GB2312" w:hint="eastAsia"/>
          <w:sz w:val="32"/>
        </w:rPr>
        <w:t>，要为教育教学服务，为促进学校教育现代化服务。学校要</w:t>
      </w:r>
      <w:r w:rsidRPr="002C654F">
        <w:rPr>
          <w:rFonts w:ascii="仿宋_GB2312" w:hint="eastAsia"/>
          <w:sz w:val="32"/>
        </w:rPr>
        <w:t>遵循</w:t>
      </w:r>
      <w:r w:rsidR="00A0670D" w:rsidRPr="00A0670D">
        <w:rPr>
          <w:rFonts w:ascii="仿宋_GB2312" w:hint="eastAsia"/>
          <w:sz w:val="32"/>
        </w:rPr>
        <w:t>《巴彦淖尔市</w:t>
      </w:r>
      <w:r w:rsidRPr="00A0670D">
        <w:rPr>
          <w:rFonts w:ascii="仿宋_GB2312" w:hint="eastAsia"/>
          <w:sz w:val="32"/>
        </w:rPr>
        <w:t>教</w:t>
      </w:r>
      <w:r>
        <w:rPr>
          <w:rFonts w:ascii="仿宋_GB2312" w:hint="eastAsia"/>
          <w:sz w:val="32"/>
        </w:rPr>
        <w:t>育城域网</w:t>
      </w:r>
      <w:r w:rsidR="00A0670D">
        <w:rPr>
          <w:rFonts w:ascii="仿宋_GB2312" w:hint="eastAsia"/>
          <w:sz w:val="32"/>
        </w:rPr>
        <w:t>建设规范》要求</w:t>
      </w:r>
      <w:r w:rsidR="000427B2">
        <w:rPr>
          <w:rFonts w:ascii="仿宋_GB2312" w:hint="eastAsia"/>
          <w:sz w:val="32"/>
        </w:rPr>
        <w:t>必须</w:t>
      </w:r>
      <w:r w:rsidR="00A0670D">
        <w:rPr>
          <w:rFonts w:ascii="仿宋_GB2312" w:hint="eastAsia"/>
          <w:sz w:val="32"/>
        </w:rPr>
        <w:t>主动接入</w:t>
      </w:r>
      <w:r>
        <w:rPr>
          <w:rFonts w:ascii="仿宋_GB2312" w:hint="eastAsia"/>
          <w:sz w:val="32"/>
        </w:rPr>
        <w:t>教育城域网</w:t>
      </w:r>
      <w:r w:rsidR="00A0670D">
        <w:rPr>
          <w:rFonts w:ascii="仿宋_GB2312" w:hint="eastAsia"/>
          <w:sz w:val="32"/>
        </w:rPr>
        <w:t>体系</w:t>
      </w:r>
      <w:r w:rsidRPr="0082010B">
        <w:rPr>
          <w:rFonts w:ascii="仿宋_GB2312" w:hint="eastAsia"/>
          <w:sz w:val="32"/>
        </w:rPr>
        <w:t>。</w:t>
      </w:r>
    </w:p>
    <w:p w:rsidR="007267F6" w:rsidRDefault="007267F6" w:rsidP="007267F6">
      <w:pPr>
        <w:adjustRightInd w:val="0"/>
        <w:snapToGrid w:val="0"/>
        <w:spacing w:before="350" w:after="350" w:line="500" w:lineRule="exact"/>
        <w:ind w:firstLineChars="225" w:firstLine="745"/>
        <w:rPr>
          <w:rFonts w:ascii="仿宋_GB2312"/>
          <w:sz w:val="32"/>
        </w:rPr>
      </w:pPr>
      <w:r w:rsidRPr="00595568">
        <w:rPr>
          <w:rFonts w:ascii="仿宋_GB2312" w:hint="eastAsia"/>
          <w:b/>
          <w:sz w:val="32"/>
        </w:rPr>
        <w:t>第三条</w:t>
      </w:r>
      <w:r w:rsidRPr="0082010B">
        <w:rPr>
          <w:rFonts w:ascii="仿宋_GB2312" w:hint="eastAsia"/>
          <w:sz w:val="32"/>
        </w:rPr>
        <w:t xml:space="preserve">　各</w:t>
      </w:r>
      <w:r w:rsidR="00C434EF">
        <w:rPr>
          <w:rFonts w:ascii="仿宋_GB2312" w:hint="eastAsia"/>
          <w:sz w:val="32"/>
        </w:rPr>
        <w:t>级</w:t>
      </w:r>
      <w:r w:rsidR="00A0670D">
        <w:rPr>
          <w:rFonts w:ascii="仿宋_GB2312" w:hint="eastAsia"/>
          <w:sz w:val="32"/>
        </w:rPr>
        <w:t>教育</w:t>
      </w:r>
      <w:r w:rsidR="00C434EF">
        <w:rPr>
          <w:rFonts w:ascii="仿宋_GB2312" w:hint="eastAsia"/>
          <w:sz w:val="32"/>
        </w:rPr>
        <w:t>部门</w:t>
      </w:r>
      <w:r w:rsidRPr="0082010B">
        <w:rPr>
          <w:rFonts w:ascii="仿宋_GB2312" w:hint="eastAsia"/>
          <w:sz w:val="32"/>
        </w:rPr>
        <w:t>要坚持以应用促建设，以需求促发展的策略，以现代教育思想和理论为指导，以信息技术与学科教学有</w:t>
      </w:r>
      <w:r>
        <w:rPr>
          <w:rFonts w:ascii="仿宋_GB2312" w:hint="eastAsia"/>
          <w:sz w:val="32"/>
        </w:rPr>
        <w:t>效</w:t>
      </w:r>
      <w:r w:rsidRPr="0082010B">
        <w:rPr>
          <w:rFonts w:ascii="仿宋_GB2312" w:hint="eastAsia"/>
          <w:sz w:val="32"/>
        </w:rPr>
        <w:t>融合为关键，以</w:t>
      </w:r>
      <w:r w:rsidR="00C434EF">
        <w:rPr>
          <w:rFonts w:ascii="仿宋_GB2312" w:hint="eastAsia"/>
          <w:sz w:val="32"/>
        </w:rPr>
        <w:t>教育城域网</w:t>
      </w:r>
      <w:r w:rsidRPr="0082010B">
        <w:rPr>
          <w:rFonts w:ascii="仿宋_GB2312" w:hint="eastAsia"/>
          <w:sz w:val="32"/>
        </w:rPr>
        <w:t>建设为基础，以教育信息化资源的应用和人才队伍的培养为重点，不断</w:t>
      </w:r>
      <w:r w:rsidR="00C434EF">
        <w:rPr>
          <w:rFonts w:ascii="仿宋_GB2312" w:hint="eastAsia"/>
          <w:sz w:val="32"/>
        </w:rPr>
        <w:t>便利</w:t>
      </w:r>
      <w:r w:rsidRPr="0082010B">
        <w:rPr>
          <w:rFonts w:ascii="仿宋_GB2312" w:hint="eastAsia"/>
          <w:sz w:val="32"/>
        </w:rPr>
        <w:t>广大教师、学生对现代教育</w:t>
      </w:r>
      <w:r>
        <w:rPr>
          <w:rFonts w:ascii="仿宋_GB2312" w:hint="eastAsia"/>
          <w:sz w:val="32"/>
        </w:rPr>
        <w:t>信息技术的应用，全面提高</w:t>
      </w:r>
      <w:r w:rsidR="00C434EF">
        <w:rPr>
          <w:rFonts w:ascii="仿宋_GB2312" w:hint="eastAsia"/>
          <w:sz w:val="32"/>
        </w:rPr>
        <w:t>教育城域网</w:t>
      </w:r>
      <w:r>
        <w:rPr>
          <w:rFonts w:ascii="仿宋_GB2312" w:hint="eastAsia"/>
          <w:sz w:val="32"/>
        </w:rPr>
        <w:t>的应用层次和水平，为全面推进巴彦淖尔市</w:t>
      </w:r>
      <w:r w:rsidRPr="0082010B">
        <w:rPr>
          <w:rFonts w:ascii="仿宋_GB2312" w:hint="eastAsia"/>
          <w:sz w:val="32"/>
        </w:rPr>
        <w:t>素质教育和实现教育现代化服务。</w:t>
      </w:r>
    </w:p>
    <w:p w:rsidR="005D2871" w:rsidRPr="007E1DBC" w:rsidRDefault="007E1DBC" w:rsidP="007E1DBC">
      <w:pPr>
        <w:pStyle w:val="1"/>
      </w:pPr>
      <w:r w:rsidRPr="007E1DBC">
        <w:rPr>
          <w:rFonts w:hint="eastAsia"/>
        </w:rPr>
        <w:lastRenderedPageBreak/>
        <w:t>第</w:t>
      </w:r>
      <w:r w:rsidR="00C434EF" w:rsidRPr="007E1DBC">
        <w:rPr>
          <w:rFonts w:hint="eastAsia"/>
        </w:rPr>
        <w:t>二</w:t>
      </w:r>
      <w:r w:rsidRPr="007E1DBC">
        <w:rPr>
          <w:rFonts w:hint="eastAsia"/>
        </w:rPr>
        <w:t>章</w:t>
      </w:r>
      <w:r w:rsidR="00E733F4" w:rsidRPr="007E1DBC">
        <w:rPr>
          <w:rFonts w:hint="eastAsia"/>
        </w:rPr>
        <w:t>、概述</w:t>
      </w:r>
      <w:bookmarkEnd w:id="1"/>
    </w:p>
    <w:p w:rsidR="005D2871" w:rsidRPr="00EF6C76" w:rsidRDefault="00C21B1E" w:rsidP="007E1DBC">
      <w:pPr>
        <w:pStyle w:val="ab"/>
      </w:pPr>
      <w:r w:rsidRPr="00EF6C76">
        <w:rPr>
          <w:rFonts w:hint="eastAsia"/>
        </w:rPr>
        <w:t>（一）定义</w:t>
      </w:r>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教育城域网，是指在一定的区域范围内，以计算机网络技术为基础，以光纤为传输媒介，将本地区的学校和其他教育机构的局域网全部连接起来，形成的一个集数据、语音、视频服务于一体的高带宽、多功能、多业务接入的教育专用多媒体通信网络。</w:t>
      </w:r>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本规范中学校是指学前教育学校，普通小学、初中、高中，特殊教育学校，中等职业学校。</w:t>
      </w:r>
    </w:p>
    <w:p w:rsidR="005D2871" w:rsidRPr="00EF6C76" w:rsidRDefault="00C21B1E" w:rsidP="007E1DBC">
      <w:pPr>
        <w:pStyle w:val="ab"/>
      </w:pPr>
      <w:r w:rsidRPr="00EF6C76">
        <w:rPr>
          <w:rFonts w:hint="eastAsia"/>
        </w:rPr>
        <w:t>（二）分类</w:t>
      </w:r>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按管理层级和覆盖区域，本规范将</w:t>
      </w:r>
      <w:r w:rsidR="000372E1" w:rsidRPr="00EF6C76">
        <w:rPr>
          <w:rFonts w:ascii="仿宋_GB2312" w:hint="eastAsia"/>
          <w:sz w:val="32"/>
        </w:rPr>
        <w:t>市</w:t>
      </w:r>
      <w:r w:rsidRPr="00EF6C76">
        <w:rPr>
          <w:rFonts w:ascii="仿宋_GB2312" w:hint="eastAsia"/>
          <w:sz w:val="32"/>
        </w:rPr>
        <w:t>内的教育城域网分为市级教育城域网和</w:t>
      </w:r>
      <w:r w:rsidR="000372E1" w:rsidRPr="00EF6C76">
        <w:rPr>
          <w:rFonts w:ascii="仿宋_GB2312" w:hint="eastAsia"/>
          <w:sz w:val="32"/>
        </w:rPr>
        <w:t>旗</w:t>
      </w:r>
      <w:r w:rsidRPr="00EF6C76">
        <w:rPr>
          <w:rFonts w:ascii="仿宋_GB2312" w:hint="eastAsia"/>
          <w:sz w:val="32"/>
        </w:rPr>
        <w:t>县级教育城域网。</w:t>
      </w:r>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市级教育城域网是指在市域范围内建设的教育城域网，由市级网络中心、</w:t>
      </w:r>
      <w:r w:rsidR="00E2697E" w:rsidRPr="00EF6C76">
        <w:rPr>
          <w:rFonts w:ascii="仿宋_GB2312" w:hint="eastAsia"/>
          <w:sz w:val="32"/>
        </w:rPr>
        <w:t>旗县</w:t>
      </w:r>
      <w:r w:rsidRPr="00EF6C76">
        <w:rPr>
          <w:rFonts w:ascii="仿宋_GB2312" w:hint="eastAsia"/>
          <w:sz w:val="32"/>
        </w:rPr>
        <w:t>级骨干传输网络、学校校园网和其他教育机构局域网等连接构成。市级教育城域网架构见图1。</w:t>
      </w:r>
    </w:p>
    <w:p w:rsidR="005D2871" w:rsidRPr="00EF6C76" w:rsidRDefault="005D2871" w:rsidP="00EF6C76">
      <w:pPr>
        <w:pStyle w:val="a6"/>
        <w:spacing w:before="100" w:beforeAutospacing="1" w:after="100" w:afterAutospacing="1"/>
        <w:ind w:firstLine="660"/>
        <w:rPr>
          <w:rFonts w:ascii="仿宋_GB2312" w:eastAsia="仿宋_GB2312" w:hAnsi="Calibri"/>
          <w:kern w:val="2"/>
          <w:sz w:val="32"/>
          <w:szCs w:val="22"/>
        </w:rPr>
      </w:pPr>
    </w:p>
    <w:p w:rsidR="005D2871" w:rsidRPr="00EF6C76" w:rsidRDefault="005D2871" w:rsidP="00EF6C76">
      <w:pPr>
        <w:spacing w:before="100" w:beforeAutospacing="1" w:after="100" w:afterAutospacing="1"/>
        <w:ind w:firstLineChars="200" w:firstLine="660"/>
        <w:rPr>
          <w:rFonts w:ascii="仿宋_GB2312"/>
          <w:sz w:val="32"/>
        </w:rPr>
      </w:pPr>
    </w:p>
    <w:p w:rsidR="005D2871" w:rsidRPr="00EF6C76" w:rsidRDefault="00321E3A" w:rsidP="00EF6C76">
      <w:pPr>
        <w:spacing w:before="100" w:beforeAutospacing="1" w:after="100" w:afterAutospacing="1"/>
        <w:ind w:firstLineChars="200" w:firstLine="660"/>
        <w:rPr>
          <w:rFonts w:ascii="仿宋_GB2312"/>
          <w:sz w:val="32"/>
        </w:rPr>
      </w:pPr>
      <w:r w:rsidRPr="00EF6C76">
        <w:rPr>
          <w:rFonts w:ascii="仿宋_GB2312"/>
          <w:noProof/>
          <w:sz w:val="32"/>
        </w:rPr>
        <w:lastRenderedPageBreak/>
        <w:drawing>
          <wp:anchor distT="0" distB="0" distL="114300" distR="114300" simplePos="0" relativeHeight="251655680" behindDoc="0" locked="0" layoutInCell="1" allowOverlap="1" wp14:anchorId="2407E333" wp14:editId="5DA3CE67">
            <wp:simplePos x="0" y="0"/>
            <wp:positionH relativeFrom="column">
              <wp:posOffset>1003935</wp:posOffset>
            </wp:positionH>
            <wp:positionV relativeFrom="paragraph">
              <wp:posOffset>60325</wp:posOffset>
            </wp:positionV>
            <wp:extent cx="3190875" cy="1814830"/>
            <wp:effectExtent l="0" t="0" r="0" b="0"/>
            <wp:wrapSquare wrapText="bothSides"/>
            <wp:docPr id="21" name="图片 2" descr="市级城域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市级城域网-1"/>
                    <pic:cNvPicPr>
                      <a:picLocks noChangeAspect="1" noChangeArrowheads="1"/>
                    </pic:cNvPicPr>
                  </pic:nvPicPr>
                  <pic:blipFill>
                    <a:blip r:embed="rId8" cstate="print">
                      <a:extLst>
                        <a:ext uri="{28A0092B-C50C-407E-A947-70E740481C1C}">
                          <a14:useLocalDpi xmlns:a14="http://schemas.microsoft.com/office/drawing/2010/main" val="0"/>
                        </a:ext>
                      </a:extLst>
                    </a:blip>
                    <a:srcRect l="3340" t="29623" r="3949"/>
                    <a:stretch>
                      <a:fillRect/>
                    </a:stretch>
                  </pic:blipFill>
                  <pic:spPr bwMode="auto">
                    <a:xfrm>
                      <a:off x="0" y="0"/>
                      <a:ext cx="3190875" cy="1814830"/>
                    </a:xfrm>
                    <a:prstGeom prst="rect">
                      <a:avLst/>
                    </a:prstGeom>
                    <a:noFill/>
                  </pic:spPr>
                </pic:pic>
              </a:graphicData>
            </a:graphic>
            <wp14:sizeRelH relativeFrom="page">
              <wp14:pctWidth>0</wp14:pctWidth>
            </wp14:sizeRelH>
            <wp14:sizeRelV relativeFrom="page">
              <wp14:pctHeight>0</wp14:pctHeight>
            </wp14:sizeRelV>
          </wp:anchor>
        </w:drawing>
      </w:r>
    </w:p>
    <w:p w:rsidR="005D2871" w:rsidRPr="00EF6C76" w:rsidRDefault="005D2871" w:rsidP="00EF6C76">
      <w:pPr>
        <w:spacing w:before="100" w:beforeAutospacing="1" w:after="100" w:afterAutospacing="1"/>
        <w:ind w:firstLineChars="200" w:firstLine="660"/>
        <w:rPr>
          <w:rFonts w:ascii="仿宋_GB2312"/>
          <w:sz w:val="32"/>
        </w:rPr>
      </w:pPr>
    </w:p>
    <w:p w:rsidR="005D2871" w:rsidRPr="00EF6C76" w:rsidRDefault="005D2871" w:rsidP="00EF6C76">
      <w:pPr>
        <w:spacing w:before="100" w:beforeAutospacing="1" w:after="100" w:afterAutospacing="1"/>
        <w:ind w:firstLineChars="200" w:firstLine="660"/>
        <w:rPr>
          <w:rFonts w:ascii="仿宋_GB2312"/>
          <w:sz w:val="32"/>
        </w:rPr>
      </w:pPr>
    </w:p>
    <w:p w:rsidR="005D2871" w:rsidRPr="00EF6C76" w:rsidRDefault="005D2871" w:rsidP="00AC2E96">
      <w:pPr>
        <w:snapToGrid w:val="0"/>
        <w:spacing w:before="100" w:beforeAutospacing="1" w:after="100" w:afterAutospacing="1"/>
        <w:jc w:val="center"/>
        <w:rPr>
          <w:rFonts w:ascii="仿宋_GB2312"/>
          <w:sz w:val="32"/>
        </w:rPr>
      </w:pPr>
    </w:p>
    <w:p w:rsidR="005D2871" w:rsidRPr="00EF6C76" w:rsidRDefault="00C21B1E" w:rsidP="00AC2E96">
      <w:pPr>
        <w:snapToGrid w:val="0"/>
        <w:spacing w:before="100" w:beforeAutospacing="1" w:after="100" w:afterAutospacing="1"/>
        <w:jc w:val="center"/>
        <w:rPr>
          <w:rFonts w:ascii="仿宋_GB2312"/>
          <w:sz w:val="32"/>
        </w:rPr>
      </w:pPr>
      <w:r w:rsidRPr="00EF6C76">
        <w:rPr>
          <w:rFonts w:ascii="仿宋_GB2312" w:hint="eastAsia"/>
          <w:sz w:val="32"/>
        </w:rPr>
        <w:t>图1 市级教育城域网架构示意图</w:t>
      </w:r>
    </w:p>
    <w:p w:rsidR="009F5C63" w:rsidRPr="00EF6C76" w:rsidRDefault="000372E1" w:rsidP="00EF6C76">
      <w:pPr>
        <w:spacing w:before="100" w:beforeAutospacing="1" w:after="100" w:afterAutospacing="1"/>
        <w:ind w:firstLineChars="200" w:firstLine="660"/>
        <w:rPr>
          <w:rFonts w:ascii="仿宋_GB2312"/>
          <w:sz w:val="32"/>
        </w:rPr>
      </w:pPr>
      <w:r w:rsidRPr="00EF6C76">
        <w:rPr>
          <w:rFonts w:ascii="仿宋_GB2312" w:hint="eastAsia"/>
          <w:sz w:val="32"/>
        </w:rPr>
        <w:t>旗</w:t>
      </w:r>
      <w:r w:rsidR="00C21B1E" w:rsidRPr="00EF6C76">
        <w:rPr>
          <w:rFonts w:ascii="仿宋_GB2312" w:hint="eastAsia"/>
          <w:sz w:val="32"/>
        </w:rPr>
        <w:t>县级教育城域网是指在县域范围内建设的教育城域网，由县级网络中心与辖区学校校园网及其他教育机构的局域网等连接构成。县级教育城域网架构见图2。</w:t>
      </w:r>
    </w:p>
    <w:p w:rsidR="00655906" w:rsidRPr="00EF6C76" w:rsidRDefault="00655906" w:rsidP="00EF6C76">
      <w:pPr>
        <w:spacing w:before="100" w:beforeAutospacing="1" w:after="100" w:afterAutospacing="1"/>
        <w:ind w:firstLineChars="200" w:firstLine="660"/>
        <w:rPr>
          <w:rFonts w:ascii="仿宋_GB2312"/>
          <w:sz w:val="32"/>
        </w:rPr>
      </w:pPr>
      <w:r w:rsidRPr="00EF6C76">
        <w:rPr>
          <w:rFonts w:ascii="仿宋_GB2312"/>
          <w:noProof/>
          <w:sz w:val="32"/>
        </w:rPr>
        <w:drawing>
          <wp:anchor distT="0" distB="0" distL="114300" distR="114300" simplePos="0" relativeHeight="251656704" behindDoc="0" locked="0" layoutInCell="1" allowOverlap="1" wp14:anchorId="6B49D6D9" wp14:editId="0AC42332">
            <wp:simplePos x="0" y="0"/>
            <wp:positionH relativeFrom="column">
              <wp:posOffset>173355</wp:posOffset>
            </wp:positionH>
            <wp:positionV relativeFrom="paragraph">
              <wp:posOffset>131445</wp:posOffset>
            </wp:positionV>
            <wp:extent cx="5133340" cy="2078355"/>
            <wp:effectExtent l="0" t="0" r="0" b="0"/>
            <wp:wrapSquare wrapText="bothSides"/>
            <wp:docPr id="20" name="图片 3" descr="县级城域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县级城域网-1"/>
                    <pic:cNvPicPr>
                      <a:picLocks noChangeAspect="1" noChangeArrowheads="1"/>
                    </pic:cNvPicPr>
                  </pic:nvPicPr>
                  <pic:blipFill>
                    <a:blip r:embed="rId9">
                      <a:extLst>
                        <a:ext uri="{28A0092B-C50C-407E-A947-70E740481C1C}">
                          <a14:useLocalDpi xmlns:a14="http://schemas.microsoft.com/office/drawing/2010/main" val="0"/>
                        </a:ext>
                      </a:extLst>
                    </a:blip>
                    <a:srcRect t="15579" b="37946"/>
                    <a:stretch>
                      <a:fillRect/>
                    </a:stretch>
                  </pic:blipFill>
                  <pic:spPr bwMode="auto">
                    <a:xfrm>
                      <a:off x="0" y="0"/>
                      <a:ext cx="5133340" cy="2078355"/>
                    </a:xfrm>
                    <a:prstGeom prst="rect">
                      <a:avLst/>
                    </a:prstGeom>
                    <a:noFill/>
                  </pic:spPr>
                </pic:pic>
              </a:graphicData>
            </a:graphic>
            <wp14:sizeRelH relativeFrom="page">
              <wp14:pctWidth>0</wp14:pctWidth>
            </wp14:sizeRelH>
            <wp14:sizeRelV relativeFrom="page">
              <wp14:pctHeight>0</wp14:pctHeight>
            </wp14:sizeRelV>
          </wp:anchor>
        </w:drawing>
      </w:r>
    </w:p>
    <w:p w:rsidR="00655906" w:rsidRPr="00EF6C76" w:rsidRDefault="00655906" w:rsidP="00EF6C76">
      <w:pPr>
        <w:spacing w:before="100" w:beforeAutospacing="1" w:after="100" w:afterAutospacing="1"/>
        <w:ind w:firstLineChars="200" w:firstLine="660"/>
        <w:rPr>
          <w:rFonts w:ascii="仿宋_GB2312"/>
          <w:sz w:val="32"/>
        </w:rPr>
      </w:pPr>
    </w:p>
    <w:p w:rsidR="00655906" w:rsidRPr="00EF6C76" w:rsidRDefault="00655906" w:rsidP="00EF6C76">
      <w:pPr>
        <w:spacing w:before="100" w:beforeAutospacing="1" w:after="100" w:afterAutospacing="1"/>
        <w:ind w:firstLineChars="200" w:firstLine="660"/>
        <w:rPr>
          <w:rFonts w:ascii="仿宋_GB2312"/>
          <w:sz w:val="32"/>
        </w:rPr>
      </w:pPr>
    </w:p>
    <w:p w:rsidR="00655906" w:rsidRPr="00EF6C76" w:rsidRDefault="00655906" w:rsidP="00EF6C76">
      <w:pPr>
        <w:spacing w:before="100" w:beforeAutospacing="1" w:after="100" w:afterAutospacing="1"/>
        <w:ind w:firstLineChars="200" w:firstLine="660"/>
        <w:rPr>
          <w:rFonts w:ascii="仿宋_GB2312"/>
          <w:sz w:val="32"/>
        </w:rPr>
      </w:pPr>
    </w:p>
    <w:p w:rsidR="00655906" w:rsidRPr="00EF6C76" w:rsidRDefault="00655906" w:rsidP="00EF6C76">
      <w:pPr>
        <w:spacing w:before="100" w:beforeAutospacing="1" w:after="100" w:afterAutospacing="1"/>
        <w:ind w:firstLineChars="200" w:firstLine="660"/>
        <w:rPr>
          <w:rFonts w:ascii="仿宋_GB2312"/>
          <w:sz w:val="32"/>
        </w:rPr>
      </w:pPr>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图2 县级教育城域网架构示意图</w:t>
      </w:r>
    </w:p>
    <w:p w:rsidR="005D2871" w:rsidRPr="00EF6C76" w:rsidRDefault="000372E1" w:rsidP="00EF6C76">
      <w:pPr>
        <w:spacing w:before="100" w:beforeAutospacing="1" w:after="100" w:afterAutospacing="1"/>
        <w:ind w:firstLineChars="200" w:firstLine="660"/>
        <w:rPr>
          <w:rFonts w:ascii="仿宋_GB2312"/>
          <w:sz w:val="32"/>
        </w:rPr>
      </w:pPr>
      <w:r w:rsidRPr="00EF6C76">
        <w:rPr>
          <w:rFonts w:ascii="仿宋_GB2312" w:hint="eastAsia"/>
          <w:sz w:val="32"/>
        </w:rPr>
        <w:t>学校校园网、</w:t>
      </w:r>
      <w:r w:rsidR="0053055F">
        <w:rPr>
          <w:rFonts w:ascii="仿宋_GB2312" w:hint="eastAsia"/>
          <w:sz w:val="32"/>
        </w:rPr>
        <w:t>旗</w:t>
      </w:r>
      <w:r w:rsidR="00C21B1E" w:rsidRPr="00EF6C76">
        <w:rPr>
          <w:rFonts w:ascii="仿宋_GB2312" w:hint="eastAsia"/>
          <w:sz w:val="32"/>
        </w:rPr>
        <w:t>县级教育城域网、市级教育城域网等共同组成了全</w:t>
      </w:r>
      <w:r w:rsidRPr="00EF6C76">
        <w:rPr>
          <w:rFonts w:ascii="仿宋_GB2312" w:hint="eastAsia"/>
          <w:sz w:val="32"/>
        </w:rPr>
        <w:t>市</w:t>
      </w:r>
      <w:r w:rsidR="00C21B1E" w:rsidRPr="00EF6C76">
        <w:rPr>
          <w:rFonts w:ascii="仿宋_GB2312" w:hint="eastAsia"/>
          <w:sz w:val="32"/>
        </w:rPr>
        <w:t>教育网络体系。</w:t>
      </w:r>
      <w:r w:rsidRPr="00EF6C76">
        <w:rPr>
          <w:rFonts w:ascii="仿宋_GB2312" w:hint="eastAsia"/>
          <w:sz w:val="32"/>
        </w:rPr>
        <w:t>全市</w:t>
      </w:r>
      <w:r w:rsidR="00C21B1E" w:rsidRPr="00EF6C76">
        <w:rPr>
          <w:rFonts w:ascii="仿宋_GB2312" w:hint="eastAsia"/>
          <w:sz w:val="32"/>
        </w:rPr>
        <w:t>教育网络体系架构见图3。</w:t>
      </w:r>
    </w:p>
    <w:p w:rsidR="002319B3" w:rsidRPr="00EF6C76" w:rsidRDefault="002319B3" w:rsidP="00EF6C76">
      <w:pPr>
        <w:spacing w:before="100" w:beforeAutospacing="1" w:after="100" w:afterAutospacing="1"/>
        <w:ind w:firstLineChars="200" w:firstLine="660"/>
        <w:rPr>
          <w:rFonts w:ascii="仿宋_GB2312"/>
          <w:sz w:val="32"/>
        </w:rPr>
      </w:pPr>
    </w:p>
    <w:p w:rsidR="002319B3" w:rsidRPr="00EF6C76" w:rsidRDefault="00FB7D0A" w:rsidP="00EF6C76">
      <w:pPr>
        <w:spacing w:before="100" w:beforeAutospacing="1" w:after="100" w:afterAutospacing="1"/>
        <w:ind w:firstLineChars="200" w:firstLine="660"/>
        <w:rPr>
          <w:rFonts w:ascii="仿宋_GB2312"/>
          <w:sz w:val="32"/>
        </w:rPr>
      </w:pPr>
      <w:r w:rsidRPr="00EF6C76">
        <w:rPr>
          <w:rFonts w:ascii="仿宋_GB2312"/>
          <w:noProof/>
          <w:sz w:val="32"/>
        </w:rPr>
        <w:lastRenderedPageBreak/>
        <mc:AlternateContent>
          <mc:Choice Requires="wpg">
            <w:drawing>
              <wp:anchor distT="0" distB="0" distL="114300" distR="114300" simplePos="0" relativeHeight="251659776" behindDoc="0" locked="0" layoutInCell="1" allowOverlap="1" wp14:anchorId="34007B9B" wp14:editId="1192C014">
                <wp:simplePos x="0" y="0"/>
                <wp:positionH relativeFrom="column">
                  <wp:posOffset>441960</wp:posOffset>
                </wp:positionH>
                <wp:positionV relativeFrom="paragraph">
                  <wp:posOffset>-255985</wp:posOffset>
                </wp:positionV>
                <wp:extent cx="4860925" cy="1917700"/>
                <wp:effectExtent l="0" t="0" r="15875" b="2540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925" cy="1917700"/>
                          <a:chOff x="1920" y="1855"/>
                          <a:chExt cx="7655" cy="3020"/>
                        </a:xfrm>
                      </wpg:grpSpPr>
                      <wps:wsp>
                        <wps:cNvPr id="2" name="AutoShape 7"/>
                        <wps:cNvSpPr>
                          <a:spLocks noChangeArrowheads="1"/>
                        </wps:cNvSpPr>
                        <wps:spPr bwMode="auto">
                          <a:xfrm>
                            <a:off x="4979" y="1921"/>
                            <a:ext cx="990" cy="600"/>
                          </a:xfrm>
                          <a:prstGeom prst="can">
                            <a:avLst>
                              <a:gd name="adj" fmla="val 25000"/>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wps:wsp>
                        <wps:cNvPr id="3" name="文本框 2"/>
                        <wps:cNvSpPr txBox="1">
                          <a:spLocks noChangeArrowheads="1"/>
                        </wps:cNvSpPr>
                        <wps:spPr bwMode="auto">
                          <a:xfrm>
                            <a:off x="6163" y="1855"/>
                            <a:ext cx="2177" cy="666"/>
                          </a:xfrm>
                          <a:prstGeom prst="rect">
                            <a:avLst/>
                          </a:prstGeom>
                          <a:solidFill>
                            <a:srgbClr val="FFFFFF"/>
                          </a:solidFill>
                          <a:ln w="9525">
                            <a:solidFill>
                              <a:srgbClr val="FFFFFF"/>
                            </a:solidFill>
                            <a:miter lim="800000"/>
                            <a:headEnd/>
                            <a:tailEnd/>
                          </a:ln>
                        </wps:spPr>
                        <wps:txbx>
                          <w:txbxContent>
                            <w:p w:rsidR="000372E1" w:rsidRPr="000372E1" w:rsidRDefault="000372E1">
                              <w:pPr>
                                <w:rPr>
                                  <w:sz w:val="24"/>
                                  <w:szCs w:val="24"/>
                                </w:rPr>
                              </w:pPr>
                              <w:r w:rsidRPr="000372E1">
                                <w:rPr>
                                  <w:rFonts w:hint="eastAsia"/>
                                  <w:sz w:val="24"/>
                                  <w:szCs w:val="24"/>
                                </w:rPr>
                                <w:t>市</w:t>
                              </w:r>
                              <w:r w:rsidRPr="000372E1">
                                <w:rPr>
                                  <w:sz w:val="24"/>
                                  <w:szCs w:val="24"/>
                                </w:rPr>
                                <w:t>级</w:t>
                              </w:r>
                              <w:r>
                                <w:rPr>
                                  <w:sz w:val="24"/>
                                  <w:szCs w:val="24"/>
                                </w:rPr>
                                <w:t>教育</w:t>
                              </w:r>
                              <w:r w:rsidRPr="000372E1">
                                <w:rPr>
                                  <w:sz w:val="24"/>
                                  <w:szCs w:val="24"/>
                                </w:rPr>
                                <w:t>城域网</w:t>
                              </w:r>
                            </w:p>
                          </w:txbxContent>
                        </wps:txbx>
                        <wps:bodyPr rot="0" vert="horz" wrap="square" lIns="91440" tIns="45720" rIns="91440" bIns="45720" anchor="t" anchorCtr="0" upright="1">
                          <a:noAutofit/>
                        </wps:bodyPr>
                      </wps:wsp>
                      <wps:wsp>
                        <wps:cNvPr id="4" name="AutoShape 10"/>
                        <wps:cNvCnPr>
                          <a:cxnSpLocks noChangeShapeType="1"/>
                        </wps:cNvCnPr>
                        <wps:spPr bwMode="auto">
                          <a:xfrm flipH="1">
                            <a:off x="3135" y="2521"/>
                            <a:ext cx="1844" cy="1019"/>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7" name="AutoShape 11"/>
                        <wps:cNvCnPr>
                          <a:cxnSpLocks noChangeShapeType="1"/>
                        </wps:cNvCnPr>
                        <wps:spPr bwMode="auto">
                          <a:xfrm flipH="1">
                            <a:off x="4515" y="2521"/>
                            <a:ext cx="899" cy="1019"/>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8" name="AutoShape 13"/>
                        <wps:cNvCnPr>
                          <a:cxnSpLocks noChangeShapeType="1"/>
                        </wps:cNvCnPr>
                        <wps:spPr bwMode="auto">
                          <a:xfrm flipH="1" flipV="1">
                            <a:off x="5865" y="2521"/>
                            <a:ext cx="1050" cy="899"/>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9" name="AutoShape 14"/>
                        <wps:cNvCnPr>
                          <a:cxnSpLocks noChangeShapeType="1"/>
                        </wps:cNvCnPr>
                        <wps:spPr bwMode="auto">
                          <a:xfrm>
                            <a:off x="5865" y="2521"/>
                            <a:ext cx="2235" cy="1094"/>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10" name="AutoShape 16"/>
                        <wps:cNvCnPr>
                          <a:cxnSpLocks noChangeShapeType="1"/>
                        </wps:cNvCnPr>
                        <wps:spPr bwMode="auto">
                          <a:xfrm>
                            <a:off x="5685" y="2521"/>
                            <a:ext cx="0" cy="1019"/>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wps:wsp>
                        <wps:cNvPr id="11" name="AutoShape 17"/>
                        <wps:cNvSpPr>
                          <a:spLocks noChangeArrowheads="1"/>
                        </wps:cNvSpPr>
                        <wps:spPr bwMode="auto">
                          <a:xfrm>
                            <a:off x="2565" y="3540"/>
                            <a:ext cx="990" cy="600"/>
                          </a:xfrm>
                          <a:prstGeom prst="can">
                            <a:avLst>
                              <a:gd name="adj" fmla="val 25000"/>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wps:wsp>
                        <wps:cNvPr id="12" name="Rectangle 18"/>
                        <wps:cNvSpPr>
                          <a:spLocks noChangeArrowheads="1"/>
                        </wps:cNvSpPr>
                        <wps:spPr bwMode="auto">
                          <a:xfrm>
                            <a:off x="1920" y="4140"/>
                            <a:ext cx="1545" cy="645"/>
                          </a:xfrm>
                          <a:prstGeom prst="rect">
                            <a:avLst/>
                          </a:prstGeom>
                          <a:solidFill>
                            <a:srgbClr val="FFFFFF"/>
                          </a:solidFill>
                          <a:ln w="15875">
                            <a:solidFill>
                              <a:srgbClr val="FFFFFF"/>
                            </a:solidFill>
                            <a:miter lim="800000"/>
                            <a:headEnd/>
                            <a:tailEnd/>
                          </a:ln>
                        </wps:spPr>
                        <wps:txbx>
                          <w:txbxContent>
                            <w:p w:rsidR="000E0120" w:rsidRPr="000E0120" w:rsidRDefault="000E0120">
                              <w:pPr>
                                <w:rPr>
                                  <w:sz w:val="18"/>
                                  <w:szCs w:val="18"/>
                                </w:rPr>
                              </w:pPr>
                              <w:r>
                                <w:rPr>
                                  <w:sz w:val="18"/>
                                  <w:szCs w:val="18"/>
                                </w:rPr>
                                <w:t>临河区城域网</w:t>
                              </w:r>
                            </w:p>
                          </w:txbxContent>
                        </wps:txbx>
                        <wps:bodyPr rot="0" vert="horz" wrap="square" lIns="91440" tIns="45720" rIns="91440" bIns="45720" anchor="t" anchorCtr="0" upright="1">
                          <a:noAutofit/>
                        </wps:bodyPr>
                      </wps:wsp>
                      <wps:wsp>
                        <wps:cNvPr id="13" name="AutoShape 19"/>
                        <wps:cNvSpPr>
                          <a:spLocks noChangeArrowheads="1"/>
                        </wps:cNvSpPr>
                        <wps:spPr bwMode="auto">
                          <a:xfrm>
                            <a:off x="3989" y="3540"/>
                            <a:ext cx="990" cy="600"/>
                          </a:xfrm>
                          <a:prstGeom prst="can">
                            <a:avLst>
                              <a:gd name="adj" fmla="val 25000"/>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wps:wsp>
                        <wps:cNvPr id="14" name="Rectangle 20"/>
                        <wps:cNvSpPr>
                          <a:spLocks noChangeArrowheads="1"/>
                        </wps:cNvSpPr>
                        <wps:spPr bwMode="auto">
                          <a:xfrm>
                            <a:off x="3628" y="4230"/>
                            <a:ext cx="1351" cy="645"/>
                          </a:xfrm>
                          <a:prstGeom prst="rect">
                            <a:avLst/>
                          </a:prstGeom>
                          <a:solidFill>
                            <a:srgbClr val="FFFFFF"/>
                          </a:solidFill>
                          <a:ln w="15875">
                            <a:solidFill>
                              <a:srgbClr val="FFFFFF"/>
                            </a:solidFill>
                            <a:miter lim="800000"/>
                            <a:headEnd/>
                            <a:tailEnd/>
                          </a:ln>
                        </wps:spPr>
                        <wps:txbx>
                          <w:txbxContent>
                            <w:p w:rsidR="000E0120" w:rsidRPr="000E0120" w:rsidRDefault="000E0120">
                              <w:pPr>
                                <w:rPr>
                                  <w:sz w:val="18"/>
                                  <w:szCs w:val="18"/>
                                </w:rPr>
                              </w:pPr>
                              <w:r>
                                <w:rPr>
                                  <w:rFonts w:hint="eastAsia"/>
                                  <w:sz w:val="18"/>
                                  <w:szCs w:val="18"/>
                                </w:rPr>
                                <w:t>杭后</w:t>
                              </w:r>
                              <w:r>
                                <w:rPr>
                                  <w:sz w:val="18"/>
                                  <w:szCs w:val="18"/>
                                </w:rPr>
                                <w:t>城域网</w:t>
                              </w:r>
                            </w:p>
                          </w:txbxContent>
                        </wps:txbx>
                        <wps:bodyPr rot="0" vert="horz" wrap="square" lIns="91440" tIns="45720" rIns="91440" bIns="45720" anchor="t" anchorCtr="0" upright="1">
                          <a:noAutofit/>
                        </wps:bodyPr>
                      </wps:wsp>
                      <wps:wsp>
                        <wps:cNvPr id="15" name="AutoShape 21"/>
                        <wps:cNvSpPr>
                          <a:spLocks noChangeArrowheads="1"/>
                        </wps:cNvSpPr>
                        <wps:spPr bwMode="auto">
                          <a:xfrm>
                            <a:off x="5173" y="3540"/>
                            <a:ext cx="990" cy="600"/>
                          </a:xfrm>
                          <a:prstGeom prst="can">
                            <a:avLst>
                              <a:gd name="adj" fmla="val 25000"/>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wps:wsp>
                        <wps:cNvPr id="16" name="Rectangle 22"/>
                        <wps:cNvSpPr>
                          <a:spLocks noChangeArrowheads="1"/>
                        </wps:cNvSpPr>
                        <wps:spPr bwMode="auto">
                          <a:xfrm>
                            <a:off x="4979" y="4230"/>
                            <a:ext cx="1499" cy="645"/>
                          </a:xfrm>
                          <a:prstGeom prst="rect">
                            <a:avLst/>
                          </a:prstGeom>
                          <a:solidFill>
                            <a:srgbClr val="FFFFFF"/>
                          </a:solidFill>
                          <a:ln w="15875">
                            <a:solidFill>
                              <a:srgbClr val="FFFFFF"/>
                            </a:solidFill>
                            <a:miter lim="800000"/>
                            <a:headEnd/>
                            <a:tailEnd/>
                          </a:ln>
                        </wps:spPr>
                        <wps:txbx>
                          <w:txbxContent>
                            <w:p w:rsidR="000E0120" w:rsidRPr="000E0120" w:rsidRDefault="000E0120">
                              <w:pPr>
                                <w:rPr>
                                  <w:sz w:val="18"/>
                                  <w:szCs w:val="18"/>
                                </w:rPr>
                              </w:pPr>
                              <w:r>
                                <w:rPr>
                                  <w:rFonts w:hint="eastAsia"/>
                                  <w:sz w:val="18"/>
                                  <w:szCs w:val="18"/>
                                </w:rPr>
                                <w:t>五原县</w:t>
                              </w:r>
                              <w:r>
                                <w:rPr>
                                  <w:sz w:val="18"/>
                                  <w:szCs w:val="18"/>
                                </w:rPr>
                                <w:t>城域网网</w:t>
                              </w:r>
                            </w:p>
                          </w:txbxContent>
                        </wps:txbx>
                        <wps:bodyPr rot="0" vert="horz" wrap="square" lIns="91440" tIns="45720" rIns="91440" bIns="45720" anchor="t" anchorCtr="0" upright="1">
                          <a:noAutofit/>
                        </wps:bodyPr>
                      </wps:wsp>
                      <wps:wsp>
                        <wps:cNvPr id="17" name="AutoShape 23"/>
                        <wps:cNvSpPr>
                          <a:spLocks noChangeArrowheads="1"/>
                        </wps:cNvSpPr>
                        <wps:spPr bwMode="auto">
                          <a:xfrm>
                            <a:off x="6478" y="3420"/>
                            <a:ext cx="990" cy="600"/>
                          </a:xfrm>
                          <a:prstGeom prst="can">
                            <a:avLst>
                              <a:gd name="adj" fmla="val 25000"/>
                            </a:avLst>
                          </a:prstGeom>
                          <a:gradFill rotWithShape="0">
                            <a:gsLst>
                              <a:gs pos="0">
                                <a:srgbClr val="BBD5F0"/>
                              </a:gs>
                              <a:gs pos="100000">
                                <a:srgbClr val="9CBEE0"/>
                              </a:gs>
                            </a:gsLst>
                            <a:lin ang="5400000"/>
                          </a:gradFill>
                          <a:ln w="15875">
                            <a:solidFill>
                              <a:srgbClr val="739CC3"/>
                            </a:solidFill>
                            <a:round/>
                            <a:headEnd/>
                            <a:tailEnd/>
                          </a:ln>
                        </wps:spPr>
                        <wps:bodyPr rot="0" vert="horz" wrap="square" lIns="91440" tIns="45720" rIns="91440" bIns="45720" anchor="t" anchorCtr="0" upright="1">
                          <a:noAutofit/>
                        </wps:bodyPr>
                      </wps:wsp>
                      <wps:wsp>
                        <wps:cNvPr id="18" name="Rectangle 24"/>
                        <wps:cNvSpPr>
                          <a:spLocks noChangeArrowheads="1"/>
                        </wps:cNvSpPr>
                        <wps:spPr bwMode="auto">
                          <a:xfrm>
                            <a:off x="6478" y="4140"/>
                            <a:ext cx="1622" cy="645"/>
                          </a:xfrm>
                          <a:prstGeom prst="rect">
                            <a:avLst/>
                          </a:prstGeom>
                          <a:solidFill>
                            <a:srgbClr val="FFFFFF"/>
                          </a:solidFill>
                          <a:ln w="15875">
                            <a:solidFill>
                              <a:srgbClr val="FFFFFF"/>
                            </a:solidFill>
                            <a:miter lim="800000"/>
                            <a:headEnd/>
                            <a:tailEnd/>
                          </a:ln>
                        </wps:spPr>
                        <wps:txbx>
                          <w:txbxContent>
                            <w:p w:rsidR="000E0120" w:rsidRPr="000E0120" w:rsidRDefault="004B7BC2">
                              <w:pPr>
                                <w:rPr>
                                  <w:sz w:val="18"/>
                                  <w:szCs w:val="18"/>
                                </w:rPr>
                              </w:pPr>
                              <w:r>
                                <w:rPr>
                                  <w:rFonts w:hint="eastAsia"/>
                                  <w:sz w:val="18"/>
                                  <w:szCs w:val="18"/>
                                </w:rPr>
                                <w:t>磴口</w:t>
                              </w:r>
                              <w:r w:rsidR="000E0120">
                                <w:rPr>
                                  <w:rFonts w:hint="eastAsia"/>
                                  <w:sz w:val="18"/>
                                  <w:szCs w:val="18"/>
                                </w:rPr>
                                <w:t>县</w:t>
                              </w:r>
                              <w:r w:rsidR="000E0120">
                                <w:rPr>
                                  <w:sz w:val="18"/>
                                  <w:szCs w:val="18"/>
                                </w:rPr>
                                <w:t>城域网网</w:t>
                              </w:r>
                            </w:p>
                          </w:txbxContent>
                        </wps:txbx>
                        <wps:bodyPr rot="0" vert="horz" wrap="square" lIns="91440" tIns="45720" rIns="91440" bIns="45720" anchor="t" anchorCtr="0" upright="1">
                          <a:noAutofit/>
                        </wps:bodyPr>
                      </wps:wsp>
                      <wps:wsp>
                        <wps:cNvPr id="19" name="Rectangle 25"/>
                        <wps:cNvSpPr>
                          <a:spLocks noChangeArrowheads="1"/>
                        </wps:cNvSpPr>
                        <wps:spPr bwMode="auto">
                          <a:xfrm>
                            <a:off x="7953" y="3420"/>
                            <a:ext cx="1622" cy="645"/>
                          </a:xfrm>
                          <a:prstGeom prst="rect">
                            <a:avLst/>
                          </a:prstGeom>
                          <a:solidFill>
                            <a:srgbClr val="FFFFFF"/>
                          </a:solidFill>
                          <a:ln w="15875">
                            <a:solidFill>
                              <a:srgbClr val="FFFFFF"/>
                            </a:solidFill>
                            <a:miter lim="800000"/>
                            <a:headEnd/>
                            <a:tailEnd/>
                          </a:ln>
                        </wps:spPr>
                        <wps:txbx>
                          <w:txbxContent>
                            <w:p w:rsidR="000E0120" w:rsidRPr="000E0120" w:rsidRDefault="000E0120">
                              <w:pPr>
                                <w:rPr>
                                  <w:sz w:val="18"/>
                                  <w:szCs w:val="18"/>
                                </w:rPr>
                              </w:pPr>
                              <w:r>
                                <w:rPr>
                                  <w:sz w:val="18"/>
                                  <w:szCs w:val="18"/>
                                </w:rPr>
                                <w:t>………</w:t>
                              </w:r>
                              <w:r>
                                <w:rPr>
                                  <w:rFonts w:hint="eastAsia"/>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34.8pt;margin-top:-20.15pt;width:382.75pt;height:151pt;z-index:251659776" coordorigin="1920,1855" coordsize="7655,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7" o:spid="_x0000_s1027" type="#_x0000_t22" style="position:absolute;left:4979;top:1921;width:99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pmcEA&#10;AADaAAAADwAAAGRycy9kb3ducmV2LnhtbESPT4vCMBTE7wt+h/AEb9tUD65UUxFBETzs+gfPj+bZ&#10;lDYvpYm2fvvNwoLHYWZ+w6zWg23EkzpfOVYwTVIQxIXTFZcKrpfd5wKED8gaG8ek4EUe1vnoY4WZ&#10;dj2f6HkOpYgQ9hkqMCG0mZS+MGTRJ64ljt7ddRZDlF0pdYd9hNtGztJ0Li1WHBcMtrQ1VNTnh1Ww&#10;OH5Ty/ev/au+9Q8jQ8/H6kepyXjYLEEEGsI7/N8+aAUz+LsSb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4aZnBAAAA2gAAAA8AAAAAAAAAAAAAAAAAmAIAAGRycy9kb3du&#10;cmV2LnhtbFBLBQYAAAAABAAEAPUAAACGAwAAAAA=&#10;" fillcolor="#bbd5f0" strokecolor="#739cc3" strokeweight="1.25pt">
                  <v:fill color2="#9cbee0" focus="100%" type="gradient">
                    <o:fill v:ext="view" type="gradientUnscaled"/>
                  </v:fill>
                </v:shape>
                <v:shapetype id="_x0000_t202" coordsize="21600,21600" o:spt="202" path="m,l,21600r21600,l21600,xe">
                  <v:stroke joinstyle="miter"/>
                  <v:path gradientshapeok="t" o:connecttype="rect"/>
                </v:shapetype>
                <v:shape id="文本框 2" o:spid="_x0000_s1028" type="#_x0000_t202" style="position:absolute;left:6163;top:1855;width:2177;height: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0372E1" w:rsidRPr="000372E1" w:rsidRDefault="000372E1">
                        <w:pPr>
                          <w:rPr>
                            <w:sz w:val="24"/>
                            <w:szCs w:val="24"/>
                          </w:rPr>
                        </w:pPr>
                        <w:r w:rsidRPr="000372E1">
                          <w:rPr>
                            <w:rFonts w:hint="eastAsia"/>
                            <w:sz w:val="24"/>
                            <w:szCs w:val="24"/>
                          </w:rPr>
                          <w:t>市</w:t>
                        </w:r>
                        <w:r w:rsidRPr="000372E1">
                          <w:rPr>
                            <w:sz w:val="24"/>
                            <w:szCs w:val="24"/>
                          </w:rPr>
                          <w:t>级</w:t>
                        </w:r>
                        <w:r>
                          <w:rPr>
                            <w:sz w:val="24"/>
                            <w:szCs w:val="24"/>
                          </w:rPr>
                          <w:t>教育</w:t>
                        </w:r>
                        <w:r w:rsidRPr="000372E1">
                          <w:rPr>
                            <w:sz w:val="24"/>
                            <w:szCs w:val="24"/>
                          </w:rPr>
                          <w:t>城域网</w:t>
                        </w:r>
                      </w:p>
                    </w:txbxContent>
                  </v:textbox>
                </v:shape>
                <v:shapetype id="_x0000_t32" coordsize="21600,21600" o:spt="32" o:oned="t" path="m,l21600,21600e" filled="f">
                  <v:path arrowok="t" fillok="f" o:connecttype="none"/>
                  <o:lock v:ext="edit" shapetype="t"/>
                </v:shapetype>
                <v:shape id="AutoShape 10" o:spid="_x0000_s1029" type="#_x0000_t32" style="position:absolute;left:3135;top:2521;width:1844;height:10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ha1sQAAADaAAAADwAAAGRycy9kb3ducmV2LnhtbESPQWvCQBSE70L/w/IKvZS6aSki0VWa&#10;0hRFL6YBPT6yzyQ0+zZkt0n8965Q8DjMzDfMcj2aRvTUudqygtdpBIK4sLrmUkH+k77MQTiPrLGx&#10;TAou5GC9epgsMdZ24AP1mS9FgLCLUUHlfRtL6YqKDLqpbYmDd7adQR9kV0rd4RDgppFvUTSTBmsO&#10;CxW29FlR8Zv9GQV7m39jctxuEh09n3cnzelXflTq6XH8WIDwNPp7+L+90Qre4XYl3A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KFrWxAAAANoAAAAPAAAAAAAAAAAA&#10;AAAAAKECAABkcnMvZG93bnJldi54bWxQSwUGAAAAAAQABAD5AAAAkgMAAAAA&#10;" strokecolor="#739cc3" strokeweight="1.25pt"/>
                <v:shape id="AutoShape 11" o:spid="_x0000_s1030" type="#_x0000_t32" style="position:absolute;left:4515;top:2521;width:899;height:10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EocQAAADaAAAADwAAAGRycy9kb3ducmV2LnhtbESPQWvCQBSE70L/w/IKvZS6aQ9Voqs0&#10;pSmKXkwDenxkn0lo9m3IbpP4712h4HGYmW+Y5Xo0jeipc7VlBa/TCARxYXXNpYL8J32Zg3AeWWNj&#10;mRRcyMF69TBZYqztwAfqM1+KAGEXo4LK+zaW0hUVGXRT2xIH72w7gz7IrpS6wyHATSPfouhdGqw5&#10;LFTY0mdFxW/2ZxTsbf6NyXG7SXT0fN6dNKdf+VGpp8fxYwHC0+jv4f/2RiuYwe1KuAF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sShxAAAANoAAAAPAAAAAAAAAAAA&#10;AAAAAKECAABkcnMvZG93bnJldi54bWxQSwUGAAAAAAQABAD5AAAAkgMAAAAA&#10;" strokecolor="#739cc3" strokeweight="1.25pt"/>
                <v:shape id="AutoShape 13" o:spid="_x0000_s1031" type="#_x0000_t32" style="position:absolute;left:5865;top:2521;width:1050;height:8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yUqLwAAADaAAAADwAAAGRycy9kb3ducmV2LnhtbERPzQ7BQBC+S7zDZiQuwpYDUpaIpCJO&#10;lAeYdEdburPVXdTb24PE8cv3v1y3phIvalxpWcF4FIEgzqwuOVdwOSfDOQjnkTVWlknBhxysV93O&#10;EmNt33yiV+pzEULYxaig8L6OpXRZQQbdyNbEgbvaxqAPsMmlbvAdwk0lJ1E0lQZLDg0F1rQtKLun&#10;T6OgitqTmdpkvH3ubjM9SI6PQ3pUqt9rNwsQnlr/F//ce60gbA1Xwg2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iyUqLwAAADaAAAADwAAAAAAAAAAAAAAAAChAgAA&#10;ZHJzL2Rvd25yZXYueG1sUEsFBgAAAAAEAAQA+QAAAIoDAAAAAA==&#10;" strokecolor="#739cc3" strokeweight="1.25pt"/>
                <v:shape id="AutoShape 14" o:spid="_x0000_s1032" type="#_x0000_t32" style="position:absolute;left:5865;top:2521;width:2235;height:1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spsMMAAADaAAAADwAAAGRycy9kb3ducmV2LnhtbESPQUsDMRSE74X+h/AK3mzWUqxum11K&#10;raCetIrg7bF53SwmL3ET2+2/NwWhx2FmvmFW9eCsOFAfO88KbqYFCOLG645bBR/vj9d3IGJC1mg9&#10;k4ITRair8WiFpfZHfqPDLrUiQziWqMCkFEopY2PIYZz6QJy9ve8dpiz7VuoejxnurJwVxa102HFe&#10;MBhoY6j53v06BTrZ04vdhvni8zXOfvxXMA/PQamrybBegkg0pEv4v/2kFdzD+Uq+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LKbDDAAAA2gAAAA8AAAAAAAAAAAAA&#10;AAAAoQIAAGRycy9kb3ducmV2LnhtbFBLBQYAAAAABAAEAPkAAACRAwAAAAA=&#10;" strokecolor="#739cc3" strokeweight="1.25pt"/>
                <v:shape id="AutoShape 16" o:spid="_x0000_s1033" type="#_x0000_t32" style="position:absolute;left:5685;top:2521;width:0;height:10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uZMQAAADbAAAADwAAAGRycy9kb3ducmV2LnhtbESPQUsDMRCF74L/IUyhN5ttKSpr0yJW&#10;QT1pWwq9DZtxs5hM0k1st//eOQjeZnhv3vtmsRqCVyfqcxfZwHRSgSJuou24NbDbvtzcg8oF2aKP&#10;TAYulGG1vL5aYG3jmT/ptCmtkhDONRpwpaRa69w4CpgnMRGL9hX7gEXWvtW2x7OEB69nVXWrA3Ys&#10;DQ4TPTlqvjc/wYAt/vLun9P8bv+RZ8d4SG79lowZj4bHB1CFhvJv/rt+tYIv9PKLDK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4e5kxAAAANsAAAAPAAAAAAAAAAAA&#10;AAAAAKECAABkcnMvZG93bnJldi54bWxQSwUGAAAAAAQABAD5AAAAkgMAAAAA&#10;" strokecolor="#739cc3" strokeweight="1.25pt"/>
                <v:shape id="AutoShape 17" o:spid="_x0000_s1034" type="#_x0000_t22" style="position:absolute;left:2565;top:3540;width:99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EMAA&#10;AADbAAAADwAAAGRycy9kb3ducmV2LnhtbERPTWvCQBC9F/wPywi91Y0e2pC6kVJQhBxqo/Q8ZMds&#10;SHY2ZFeT/PuuUOhtHu9ztrvJduJOg28cK1ivEhDEldMN1wou5/1LCsIHZI2dY1Iwk4ddvnjaYqbd&#10;yN90L0MtYgj7DBWYEPpMSl8ZsuhXrieO3NUNFkOEQy31gGMMt53cJMmrtNhwbDDY06ehqi1vVkFa&#10;fFHP17fD3P6MNyPDyEVzUup5OX28gwg0hX/xn/uo4/w1PH6JB8j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GEMAAAADbAAAADwAAAAAAAAAAAAAAAACYAgAAZHJzL2Rvd25y&#10;ZXYueG1sUEsFBgAAAAAEAAQA9QAAAIUDAAAAAA==&#10;" fillcolor="#bbd5f0" strokecolor="#739cc3" strokeweight="1.25pt">
                  <v:fill color2="#9cbee0" focus="100%" type="gradient">
                    <o:fill v:ext="view" type="gradientUnscaled"/>
                  </v:fill>
                </v:shape>
                <v:rect id="Rectangle 18" o:spid="_x0000_s1035" style="position:absolute;left:1920;top:4140;width:154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T1MEA&#10;AADbAAAADwAAAGRycy9kb3ducmV2LnhtbERPTWsCMRC9F/wPYYTealaxRVajiKVLKb1UvXgbk3F3&#10;cTNZkri7/ntTKPQ2j/c5q81gG9GRD7VjBdNJBoJYO1NzqeB4+HhZgAgR2WDjmBTcKcBmPXpaYW5c&#10;zz/U7WMpUgiHHBVUMba5lEFXZDFMXEucuIvzFmOCvpTGY5/CbSNnWfYmLdacGipsaVeRvu5vVsGX&#10;lV3x7Qu9nTqjz0X22s/fT0o9j4ftEkSkIf6L/9yfJs2fwe8v6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909TBAAAA2wAAAA8AAAAAAAAAAAAAAAAAmAIAAGRycy9kb3du&#10;cmV2LnhtbFBLBQYAAAAABAAEAPUAAACGAwAAAAA=&#10;" strokecolor="white" strokeweight="1.25pt">
                  <v:textbox>
                    <w:txbxContent>
                      <w:p w:rsidR="000E0120" w:rsidRPr="000E0120" w:rsidRDefault="000E0120">
                        <w:pPr>
                          <w:rPr>
                            <w:sz w:val="18"/>
                            <w:szCs w:val="18"/>
                          </w:rPr>
                        </w:pPr>
                        <w:r>
                          <w:rPr>
                            <w:sz w:val="18"/>
                            <w:szCs w:val="18"/>
                          </w:rPr>
                          <w:t>临河区城域网</w:t>
                        </w:r>
                      </w:p>
                    </w:txbxContent>
                  </v:textbox>
                </v:rect>
                <v:shape id="AutoShape 19" o:spid="_x0000_s1036" type="#_x0000_t22" style="position:absolute;left:3989;top:3540;width:99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H9/L8A&#10;AADbAAAADwAAAGRycy9kb3ducmV2LnhtbERPS4vCMBC+L/gfwgh7W1NXUKmmIoKL4MHHLp6HZtoU&#10;m0lpoq3/fiMI3ubje85y1dta3Kn1lWMF41ECgjh3uuJSwd/v9msOwgdkjbVjUvAgD6ts8LHEVLuO&#10;T3Q/h1LEEPYpKjAhNKmUPjdk0Y9cQxy5wrUWQ4RtKXWLXQy3tfxOkqm0WHFsMNjQxlB+Pd+sgvn+&#10;QA0Xs5/H9dLdjAwd76ujUp/Dfr0AEagPb/HLvdNx/gSev8QDZ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8f38vwAAANsAAAAPAAAAAAAAAAAAAAAAAJgCAABkcnMvZG93bnJl&#10;di54bWxQSwUGAAAAAAQABAD1AAAAhAMAAAAA&#10;" fillcolor="#bbd5f0" strokecolor="#739cc3" strokeweight="1.25pt">
                  <v:fill color2="#9cbee0" focus="100%" type="gradient">
                    <o:fill v:ext="view" type="gradientUnscaled"/>
                  </v:fill>
                </v:shape>
                <v:rect id="Rectangle 20" o:spid="_x0000_s1037" style="position:absolute;left:3628;top:4230;width:135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uO8EA&#10;AADbAAAADwAAAGRycy9kb3ducmV2LnhtbERPTWsCMRC9F/wPYQRvNWuxRVajiMVFSi9VL97GZNxd&#10;3EyWJO5u/31TKPQ2j/c5q81gG9GRD7VjBbNpBoJYO1NzqeB82j8vQISIbLBxTAq+KcBmPXpaYW5c&#10;z1/UHWMpUgiHHBVUMba5lEFXZDFMXUucuJvzFmOCvpTGY5/CbSNfsuxNWqw5NVTY0q4ifT8+rIIP&#10;K7vi0xd6O3NGX4vstZ+/X5SajIftEkSkIf6L/9wHk+bP4feXdI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Y7jvBAAAA2wAAAA8AAAAAAAAAAAAAAAAAmAIAAGRycy9kb3du&#10;cmV2LnhtbFBLBQYAAAAABAAEAPUAAACGAwAAAAA=&#10;" strokecolor="white" strokeweight="1.25pt">
                  <v:textbox>
                    <w:txbxContent>
                      <w:p w:rsidR="000E0120" w:rsidRPr="000E0120" w:rsidRDefault="000E0120">
                        <w:pPr>
                          <w:rPr>
                            <w:sz w:val="18"/>
                            <w:szCs w:val="18"/>
                          </w:rPr>
                        </w:pPr>
                        <w:r>
                          <w:rPr>
                            <w:rFonts w:hint="eastAsia"/>
                            <w:sz w:val="18"/>
                            <w:szCs w:val="18"/>
                          </w:rPr>
                          <w:t>杭后</w:t>
                        </w:r>
                        <w:r>
                          <w:rPr>
                            <w:sz w:val="18"/>
                            <w:szCs w:val="18"/>
                          </w:rPr>
                          <w:t>城域网</w:t>
                        </w:r>
                      </w:p>
                    </w:txbxContent>
                  </v:textbox>
                </v:rect>
                <v:shape id="AutoShape 21" o:spid="_x0000_s1038" type="#_x0000_t22" style="position:absolute;left:5173;top:3540;width:99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AE78A&#10;AADbAAAADwAAAGRycy9kb3ducmV2LnhtbERPS4vCMBC+L/gfwgh7W1MXfFBNRQQXwYOPXTwPzbQp&#10;NpPSRFv//UYQvM3H95zlqre1uFPrK8cKxqMEBHHudMWlgr/f7dcchA/IGmvHpOBBHlbZ4GOJqXYd&#10;n+h+DqWIIexTVGBCaFIpfW7Ioh+5hjhyhWsthgjbUuoWuxhua/mdJFNpseLYYLChjaH8er5ZBfP9&#10;gRouZj+P66W7GRk63ldHpT6H/XoBIlAf3uKXe6fj/Ak8f4kHy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VMATvwAAANsAAAAPAAAAAAAAAAAAAAAAAJgCAABkcnMvZG93bnJl&#10;di54bWxQSwUGAAAAAAQABAD1AAAAhAMAAAAA&#10;" fillcolor="#bbd5f0" strokecolor="#739cc3" strokeweight="1.25pt">
                  <v:fill color2="#9cbee0" focus="100%" type="gradient">
                    <o:fill v:ext="view" type="gradientUnscaled"/>
                  </v:fill>
                </v:shape>
                <v:rect id="Rectangle 22" o:spid="_x0000_s1039" style="position:absolute;left:4979;top:4230;width:1499;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V18EA&#10;AADbAAAADwAAAGRycy9kb3ducmV2LnhtbERPTWsCMRC9F/wPYQRvNWuxIqtRxOJSSi9VL97GZNxd&#10;3EyWJO5u/31TKPQ2j/c56+1gG9GRD7VjBbNpBoJYO1NzqeB8OjwvQYSIbLBxTAq+KcB2M3paY25c&#10;z1/UHWMpUgiHHBVUMba5lEFXZDFMXUucuJvzFmOCvpTGY5/CbSNfsmwhLdacGipsaV+Rvh8fVsGH&#10;lV3x6Qu9mzmjr0X22s/fLkpNxsNuBSLSEP/Ff+53k+Yv4PeXd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G1dfBAAAA2wAAAA8AAAAAAAAAAAAAAAAAmAIAAGRycy9kb3du&#10;cmV2LnhtbFBLBQYAAAAABAAEAPUAAACGAwAAAAA=&#10;" strokecolor="white" strokeweight="1.25pt">
                  <v:textbox>
                    <w:txbxContent>
                      <w:p w:rsidR="000E0120" w:rsidRPr="000E0120" w:rsidRDefault="000E0120">
                        <w:pPr>
                          <w:rPr>
                            <w:sz w:val="18"/>
                            <w:szCs w:val="18"/>
                          </w:rPr>
                        </w:pPr>
                        <w:r>
                          <w:rPr>
                            <w:rFonts w:hint="eastAsia"/>
                            <w:sz w:val="18"/>
                            <w:szCs w:val="18"/>
                          </w:rPr>
                          <w:t>五原县</w:t>
                        </w:r>
                        <w:r>
                          <w:rPr>
                            <w:sz w:val="18"/>
                            <w:szCs w:val="18"/>
                          </w:rPr>
                          <w:t>城域网网</w:t>
                        </w:r>
                      </w:p>
                    </w:txbxContent>
                  </v:textbox>
                </v:rect>
                <v:shape id="AutoShape 23" o:spid="_x0000_s1040" type="#_x0000_t22" style="position:absolute;left:6478;top:3420;width:99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7/70A&#10;AADbAAAADwAAAGRycy9kb3ducmV2LnhtbERPy6rCMBDdC/5DGMGdpt6FSjWKCF4EFz5xPTRjU2wm&#10;pYm2/r0RBHdzOM+ZL1tbiifVvnCsYDRMQBBnThecK7icN4MpCB+QNZaOScGLPCwX3c4cU+0aPtLz&#10;FHIRQ9inqMCEUKVS+syQRT90FXHkbq62GCKsc6lrbGK4LeVfkoylxYJjg8GK1oay++lhFUx3e6r4&#10;Nvl/3a/Nw8jQ8K44KNXvtasZiEBt+Im/7q2O8yfw+SUeIB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cr7/70AAADbAAAADwAAAAAAAAAAAAAAAACYAgAAZHJzL2Rvd25yZXYu&#10;eG1sUEsFBgAAAAAEAAQA9QAAAIIDAAAAAA==&#10;" fillcolor="#bbd5f0" strokecolor="#739cc3" strokeweight="1.25pt">
                  <v:fill color2="#9cbee0" focus="100%" type="gradient">
                    <o:fill v:ext="view" type="gradientUnscaled"/>
                  </v:fill>
                </v:shape>
                <v:rect id="Rectangle 24" o:spid="_x0000_s1041" style="position:absolute;left:6478;top:4140;width:162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kPsMA&#10;AADbAAAADwAAAGRycy9kb3ducmV2LnhtbESPQU/DMAyF75P4D5GRuG1pEUyoLKsmEBVCXLZx4WYS&#10;01Y0TpWEtvx7fEDiZus9v/d5Vy9+UBPF1Ac2UG4KUMQ2uJ5bA2/np/UdqJSRHQ6BycAPJaj3F6sd&#10;Vi7MfKTplFslIZwqNNDlPFZaJ9uRx7QJI7FonyF6zLLGVruIs4T7QV8XxVZ77FkaOhzpoSP7dfr2&#10;Bl68nprX2NhDGZz9aIrb+ebx3Ziry+VwDyrTkv/Nf9fPTvAFVn6RAf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XkPsMAAADbAAAADwAAAAAAAAAAAAAAAACYAgAAZHJzL2Rv&#10;d25yZXYueG1sUEsFBgAAAAAEAAQA9QAAAIgDAAAAAA==&#10;" strokecolor="white" strokeweight="1.25pt">
                  <v:textbox>
                    <w:txbxContent>
                      <w:p w:rsidR="000E0120" w:rsidRPr="000E0120" w:rsidRDefault="004B7BC2">
                        <w:pPr>
                          <w:rPr>
                            <w:sz w:val="18"/>
                            <w:szCs w:val="18"/>
                          </w:rPr>
                        </w:pPr>
                        <w:r>
                          <w:rPr>
                            <w:rFonts w:hint="eastAsia"/>
                            <w:sz w:val="18"/>
                            <w:szCs w:val="18"/>
                          </w:rPr>
                          <w:t>磴口</w:t>
                        </w:r>
                        <w:r w:rsidR="000E0120">
                          <w:rPr>
                            <w:rFonts w:hint="eastAsia"/>
                            <w:sz w:val="18"/>
                            <w:szCs w:val="18"/>
                          </w:rPr>
                          <w:t>县</w:t>
                        </w:r>
                        <w:r w:rsidR="000E0120">
                          <w:rPr>
                            <w:sz w:val="18"/>
                            <w:szCs w:val="18"/>
                          </w:rPr>
                          <w:t>城域网网</w:t>
                        </w:r>
                      </w:p>
                    </w:txbxContent>
                  </v:textbox>
                </v:rect>
                <v:rect id="Rectangle 25" o:spid="_x0000_s1042" style="position:absolute;left:7953;top:3420;width:162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lBpcIA&#10;AADbAAAADwAAAGRycy9kb3ducmV2LnhtbERPS2sCMRC+F/wPYYTeatbSFl2NIhaXUnrxcfE2JuPu&#10;4mayJHF3+++bQqG3+fies1wPthEd+VA7VjCdZCCItTM1lwpOx93TDESIyAYbx6TgmwKsV6OHJebG&#10;9byn7hBLkUI45KigirHNpQy6Ioth4lrixF2dtxgT9KU0HvsUbhv5nGVv0mLNqaHClrYV6dvhbhV8&#10;WtkVX77Qm6kz+lJkr/3L+1mpx/GwWYCINMR/8Z/7w6T5c/j9JR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UGlwgAAANsAAAAPAAAAAAAAAAAAAAAAAJgCAABkcnMvZG93&#10;bnJldi54bWxQSwUGAAAAAAQABAD1AAAAhwMAAAAA&#10;" strokecolor="white" strokeweight="1.25pt">
                  <v:textbox>
                    <w:txbxContent>
                      <w:p w:rsidR="000E0120" w:rsidRPr="000E0120" w:rsidRDefault="000E0120">
                        <w:pPr>
                          <w:rPr>
                            <w:sz w:val="18"/>
                            <w:szCs w:val="18"/>
                          </w:rPr>
                        </w:pPr>
                        <w:r>
                          <w:rPr>
                            <w:sz w:val="18"/>
                            <w:szCs w:val="18"/>
                          </w:rPr>
                          <w:t>………</w:t>
                        </w:r>
                        <w:r>
                          <w:rPr>
                            <w:rFonts w:hint="eastAsia"/>
                            <w:sz w:val="18"/>
                            <w:szCs w:val="18"/>
                          </w:rPr>
                          <w:t>..</w:t>
                        </w:r>
                      </w:p>
                    </w:txbxContent>
                  </v:textbox>
                </v:rect>
              </v:group>
            </w:pict>
          </mc:Fallback>
        </mc:AlternateContent>
      </w:r>
    </w:p>
    <w:p w:rsidR="005D2871" w:rsidRPr="00EF6C76" w:rsidRDefault="005D2871" w:rsidP="00AC2E96">
      <w:pPr>
        <w:spacing w:before="100" w:beforeAutospacing="1" w:after="100" w:afterAutospacing="1"/>
        <w:jc w:val="center"/>
        <w:rPr>
          <w:rFonts w:ascii="仿宋_GB2312"/>
          <w:sz w:val="32"/>
        </w:rPr>
      </w:pPr>
    </w:p>
    <w:p w:rsidR="00AC2E96" w:rsidRPr="00EF6C76" w:rsidRDefault="00AC2E96" w:rsidP="00AC2E96">
      <w:pPr>
        <w:spacing w:before="100" w:beforeAutospacing="1" w:after="100" w:afterAutospacing="1"/>
        <w:rPr>
          <w:rFonts w:ascii="仿宋_GB2312"/>
          <w:sz w:val="32"/>
        </w:rPr>
      </w:pPr>
    </w:p>
    <w:p w:rsidR="005D2871" w:rsidRPr="00EF6C76" w:rsidRDefault="00C21B1E" w:rsidP="000E0120">
      <w:pPr>
        <w:tabs>
          <w:tab w:val="left" w:pos="1134"/>
        </w:tabs>
        <w:spacing w:before="100" w:beforeAutospacing="1" w:after="100" w:afterAutospacing="1"/>
        <w:jc w:val="center"/>
        <w:rPr>
          <w:rFonts w:ascii="仿宋_GB2312"/>
          <w:sz w:val="32"/>
        </w:rPr>
      </w:pPr>
      <w:r w:rsidRPr="00EF6C76">
        <w:rPr>
          <w:rFonts w:ascii="仿宋_GB2312" w:hint="eastAsia"/>
          <w:sz w:val="32"/>
        </w:rPr>
        <w:t>图3 全</w:t>
      </w:r>
      <w:r w:rsidR="000372E1" w:rsidRPr="00EF6C76">
        <w:rPr>
          <w:rFonts w:ascii="仿宋_GB2312" w:hint="eastAsia"/>
          <w:sz w:val="32"/>
        </w:rPr>
        <w:t>市</w:t>
      </w:r>
      <w:r w:rsidRPr="00EF6C76">
        <w:rPr>
          <w:rFonts w:ascii="仿宋_GB2312" w:hint="eastAsia"/>
          <w:sz w:val="32"/>
        </w:rPr>
        <w:t>教育网络体系架构示意图</w:t>
      </w:r>
    </w:p>
    <w:p w:rsidR="005D2871" w:rsidRPr="00EF6C76" w:rsidRDefault="00C21B1E" w:rsidP="007E1DBC">
      <w:pPr>
        <w:pStyle w:val="ab"/>
      </w:pPr>
      <w:r w:rsidRPr="00EF6C76">
        <w:rPr>
          <w:rFonts w:hint="eastAsia"/>
        </w:rPr>
        <w:t>（三）功能</w:t>
      </w:r>
    </w:p>
    <w:p w:rsidR="005D2871" w:rsidRPr="00EF6C76" w:rsidRDefault="00C21B1E" w:rsidP="00EF6C76">
      <w:pPr>
        <w:spacing w:before="100" w:beforeAutospacing="1" w:after="100" w:afterAutospacing="1"/>
        <w:ind w:firstLineChars="189" w:firstLine="623"/>
        <w:rPr>
          <w:rFonts w:ascii="仿宋_GB2312"/>
          <w:sz w:val="32"/>
        </w:rPr>
      </w:pPr>
      <w:r w:rsidRPr="00EF6C76">
        <w:rPr>
          <w:rFonts w:ascii="仿宋_GB2312" w:hint="eastAsia"/>
          <w:sz w:val="32"/>
        </w:rPr>
        <w:t>教育城域网是一个教育专网，采用大容量光纤传输技术，具有带宽大、速度快、延迟小等特点，可为高带宽教育教学应用提供高质量的网络支持，如</w:t>
      </w:r>
      <w:r w:rsidR="00FA1F17" w:rsidRPr="00EF6C76">
        <w:rPr>
          <w:rFonts w:ascii="仿宋_GB2312" w:hint="eastAsia"/>
          <w:sz w:val="32"/>
        </w:rPr>
        <w:t>同频互动课堂教学、</w:t>
      </w:r>
      <w:r w:rsidRPr="00EF6C76">
        <w:rPr>
          <w:rFonts w:ascii="仿宋_GB2312" w:hint="eastAsia"/>
          <w:sz w:val="32"/>
        </w:rPr>
        <w:t>网络互动</w:t>
      </w:r>
      <w:r w:rsidR="00FA1F17" w:rsidRPr="00EF6C76">
        <w:rPr>
          <w:rFonts w:ascii="仿宋_GB2312" w:hint="eastAsia"/>
          <w:sz w:val="32"/>
        </w:rPr>
        <w:t>教研</w:t>
      </w:r>
      <w:r w:rsidRPr="00EF6C76">
        <w:rPr>
          <w:rFonts w:ascii="仿宋_GB2312" w:hint="eastAsia"/>
          <w:sz w:val="32"/>
        </w:rPr>
        <w:t>、视频点播（直播）教学、师资视频培训、教育视频会议、远程实时监控等应用；同时可为网上办公、学籍管理、人事管理、招生考试管理、财务管理、办学设施管理等系统提供安全可靠的网络运行环境。</w:t>
      </w:r>
    </w:p>
    <w:p w:rsidR="005D2871" w:rsidRPr="007E1DBC" w:rsidRDefault="007E1DBC" w:rsidP="007E1DBC">
      <w:pPr>
        <w:pStyle w:val="1"/>
      </w:pPr>
      <w:bookmarkStart w:id="2" w:name="_Toc372100933"/>
      <w:bookmarkStart w:id="3" w:name="_Toc372100934"/>
      <w:bookmarkStart w:id="4" w:name="_Toc372100935"/>
      <w:bookmarkStart w:id="5" w:name="_Toc372100936"/>
      <w:bookmarkStart w:id="6" w:name="_Toc372100937"/>
      <w:bookmarkStart w:id="7" w:name="_Toc372100938"/>
      <w:bookmarkStart w:id="8" w:name="_Toc372100939"/>
      <w:bookmarkStart w:id="9" w:name="_Toc372100940"/>
      <w:bookmarkStart w:id="10" w:name="_Toc372100941"/>
      <w:bookmarkStart w:id="11" w:name="_Toc372100942"/>
      <w:bookmarkStart w:id="12" w:name="_Toc372100943"/>
      <w:bookmarkStart w:id="13" w:name="_Toc372100944"/>
      <w:bookmarkStart w:id="14" w:name="_Toc372100945"/>
      <w:bookmarkStart w:id="15" w:name="_Toc372100946"/>
      <w:bookmarkStart w:id="16" w:name="_Toc372100947"/>
      <w:bookmarkStart w:id="17" w:name="_Toc372100948"/>
      <w:bookmarkStart w:id="18" w:name="_Toc372100949"/>
      <w:bookmarkStart w:id="19" w:name="_Toc372100950"/>
      <w:bookmarkStart w:id="20" w:name="_Toc372100951"/>
      <w:bookmarkStart w:id="21" w:name="_Toc372100952"/>
      <w:bookmarkStart w:id="22" w:name="_Toc372100953"/>
      <w:bookmarkStart w:id="23" w:name="_Toc372100954"/>
      <w:bookmarkStart w:id="24" w:name="_Toc372100955"/>
      <w:bookmarkStart w:id="25" w:name="_Toc372100956"/>
      <w:bookmarkStart w:id="26" w:name="_Toc372100957"/>
      <w:bookmarkStart w:id="27" w:name="_Toc372100958"/>
      <w:bookmarkStart w:id="28" w:name="_Toc372100959"/>
      <w:bookmarkStart w:id="29" w:name="_Toc372100960"/>
      <w:bookmarkStart w:id="30" w:name="_Toc372100961"/>
      <w:bookmarkStart w:id="31" w:name="_Toc372100962"/>
      <w:bookmarkStart w:id="32" w:name="_Toc372100963"/>
      <w:bookmarkStart w:id="33" w:name="_Toc372100964"/>
      <w:bookmarkStart w:id="34" w:name="_Toc372100965"/>
      <w:bookmarkStart w:id="35" w:name="_Toc372100966"/>
      <w:bookmarkStart w:id="36" w:name="_Toc372100967"/>
      <w:bookmarkStart w:id="37" w:name="_Toc372100968"/>
      <w:bookmarkStart w:id="38" w:name="_Toc37262492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7E1DBC">
        <w:rPr>
          <w:rFonts w:hint="eastAsia"/>
        </w:rPr>
        <w:t>第三章、建设目标、原则</w:t>
      </w:r>
      <w:bookmarkEnd w:id="38"/>
    </w:p>
    <w:p w:rsidR="005D2871" w:rsidRPr="00EF6C76" w:rsidRDefault="00C21B1E" w:rsidP="007E1DBC">
      <w:pPr>
        <w:pStyle w:val="ab"/>
      </w:pPr>
      <w:bookmarkStart w:id="39" w:name="_Toc328394505"/>
      <w:bookmarkStart w:id="40" w:name="_Toc360020374"/>
      <w:bookmarkStart w:id="41" w:name="_Toc372624924"/>
      <w:r w:rsidRPr="00EF6C76">
        <w:rPr>
          <w:rFonts w:hint="eastAsia"/>
        </w:rPr>
        <w:t>（一）建设目标</w:t>
      </w:r>
      <w:bookmarkEnd w:id="39"/>
      <w:bookmarkEnd w:id="40"/>
      <w:bookmarkEnd w:id="41"/>
    </w:p>
    <w:p w:rsidR="00EF6C76" w:rsidRDefault="00EF6C76" w:rsidP="00EF6C76">
      <w:pPr>
        <w:spacing w:before="100" w:beforeAutospacing="1" w:after="100" w:afterAutospacing="1"/>
        <w:ind w:firstLineChars="189" w:firstLine="626"/>
        <w:rPr>
          <w:rFonts w:ascii="仿宋_GB2312"/>
          <w:sz w:val="32"/>
        </w:rPr>
      </w:pPr>
      <w:r w:rsidRPr="00EF6C76">
        <w:rPr>
          <w:rFonts w:ascii="仿宋_GB2312" w:hint="eastAsia"/>
          <w:b/>
          <w:sz w:val="32"/>
        </w:rPr>
        <w:t>第四条</w:t>
      </w:r>
      <w:r>
        <w:rPr>
          <w:rFonts w:ascii="仿宋_GB2312" w:hint="eastAsia"/>
          <w:b/>
          <w:sz w:val="32"/>
        </w:rPr>
        <w:t xml:space="preserve"> </w:t>
      </w:r>
      <w:r w:rsidR="00C21B1E" w:rsidRPr="00EF6C76">
        <w:rPr>
          <w:rFonts w:ascii="仿宋_GB2312" w:hint="eastAsia"/>
          <w:sz w:val="32"/>
        </w:rPr>
        <w:t>建设市、县</w:t>
      </w:r>
      <w:r w:rsidR="00A20DBB" w:rsidRPr="00EF6C76">
        <w:rPr>
          <w:rFonts w:ascii="仿宋_GB2312" w:hint="eastAsia"/>
          <w:sz w:val="32"/>
        </w:rPr>
        <w:t>（旗）</w:t>
      </w:r>
      <w:r w:rsidR="00FA1F17" w:rsidRPr="00EF6C76">
        <w:rPr>
          <w:rFonts w:ascii="仿宋_GB2312" w:hint="eastAsia"/>
          <w:sz w:val="32"/>
        </w:rPr>
        <w:t>、校</w:t>
      </w:r>
      <w:r w:rsidR="0053055F">
        <w:rPr>
          <w:rFonts w:ascii="仿宋_GB2312" w:hint="eastAsia"/>
          <w:sz w:val="32"/>
        </w:rPr>
        <w:t>三</w:t>
      </w:r>
      <w:r w:rsidR="00C21B1E" w:rsidRPr="00EF6C76">
        <w:rPr>
          <w:rFonts w:ascii="仿宋_GB2312" w:hint="eastAsia"/>
          <w:sz w:val="32"/>
        </w:rPr>
        <w:t>级教育城域网</w:t>
      </w:r>
      <w:r w:rsidR="00FA1F17" w:rsidRPr="00EF6C76">
        <w:rPr>
          <w:rFonts w:ascii="仿宋_GB2312" w:hint="eastAsia"/>
          <w:sz w:val="32"/>
        </w:rPr>
        <w:t>架构</w:t>
      </w:r>
      <w:r w:rsidR="00C21B1E" w:rsidRPr="00EF6C76">
        <w:rPr>
          <w:rFonts w:ascii="仿宋_GB2312" w:hint="eastAsia"/>
          <w:sz w:val="32"/>
        </w:rPr>
        <w:t>，形成覆盖全</w:t>
      </w:r>
      <w:r w:rsidR="00A20DBB" w:rsidRPr="00EF6C76">
        <w:rPr>
          <w:rFonts w:ascii="仿宋_GB2312" w:hint="eastAsia"/>
          <w:sz w:val="32"/>
        </w:rPr>
        <w:t>市</w:t>
      </w:r>
      <w:r w:rsidR="003408D3" w:rsidRPr="00EF6C76">
        <w:rPr>
          <w:rFonts w:ascii="仿宋_GB2312" w:hint="eastAsia"/>
          <w:sz w:val="32"/>
        </w:rPr>
        <w:t>所有学校和其他教育机构的教育专网</w:t>
      </w:r>
      <w:r>
        <w:rPr>
          <w:rFonts w:ascii="仿宋_GB2312" w:hint="eastAsia"/>
          <w:sz w:val="32"/>
        </w:rPr>
        <w:t>。</w:t>
      </w:r>
    </w:p>
    <w:p w:rsidR="005D2871" w:rsidRPr="00EF6C76" w:rsidRDefault="003408D3" w:rsidP="00EF6C76">
      <w:pPr>
        <w:spacing w:before="100" w:beforeAutospacing="1" w:after="100" w:afterAutospacing="1"/>
        <w:ind w:firstLineChars="189" w:firstLine="623"/>
        <w:rPr>
          <w:rFonts w:ascii="仿宋_GB2312"/>
          <w:sz w:val="32"/>
        </w:rPr>
      </w:pPr>
      <w:r w:rsidRPr="00EF6C76">
        <w:rPr>
          <w:rFonts w:ascii="仿宋_GB2312" w:hint="eastAsia"/>
          <w:sz w:val="32"/>
        </w:rPr>
        <w:lastRenderedPageBreak/>
        <w:t>实现全市同频互动、网络教研、</w:t>
      </w:r>
      <w:r w:rsidR="00A20DBB" w:rsidRPr="00EF6C76">
        <w:rPr>
          <w:rFonts w:ascii="仿宋_GB2312" w:hint="eastAsia"/>
          <w:sz w:val="32"/>
        </w:rPr>
        <w:t>网络视频会议、</w:t>
      </w:r>
      <w:r w:rsidRPr="00EF6C76">
        <w:rPr>
          <w:rFonts w:ascii="仿宋_GB2312" w:hint="eastAsia"/>
          <w:sz w:val="32"/>
        </w:rPr>
        <w:t>视频</w:t>
      </w:r>
      <w:r w:rsidR="00A20DBB" w:rsidRPr="00EF6C76">
        <w:rPr>
          <w:rFonts w:ascii="仿宋_GB2312" w:hint="eastAsia"/>
          <w:sz w:val="32"/>
        </w:rPr>
        <w:t>监控</w:t>
      </w:r>
      <w:r w:rsidRPr="00EF6C76">
        <w:rPr>
          <w:rFonts w:ascii="仿宋_GB2312" w:hint="eastAsia"/>
          <w:sz w:val="32"/>
        </w:rPr>
        <w:t>联网</w:t>
      </w:r>
      <w:r w:rsidR="00A20DBB" w:rsidRPr="00EF6C76">
        <w:rPr>
          <w:rFonts w:ascii="仿宋_GB2312" w:hint="eastAsia"/>
          <w:sz w:val="32"/>
        </w:rPr>
        <w:t>以及与</w:t>
      </w:r>
      <w:r w:rsidR="00FA1F17" w:rsidRPr="00EF6C76">
        <w:rPr>
          <w:rFonts w:ascii="仿宋_GB2312" w:hint="eastAsia"/>
          <w:sz w:val="32"/>
        </w:rPr>
        <w:t>自治区</w:t>
      </w:r>
      <w:r w:rsidR="00A20DBB" w:rsidRPr="00EF6C76">
        <w:rPr>
          <w:rFonts w:ascii="仿宋_GB2312" w:hint="eastAsia"/>
          <w:sz w:val="32"/>
        </w:rPr>
        <w:t>平台</w:t>
      </w:r>
      <w:r w:rsidRPr="00EF6C76">
        <w:rPr>
          <w:rFonts w:ascii="仿宋_GB2312" w:hint="eastAsia"/>
          <w:sz w:val="32"/>
        </w:rPr>
        <w:t>的</w:t>
      </w:r>
      <w:r w:rsidR="00C21B1E" w:rsidRPr="00EF6C76">
        <w:rPr>
          <w:rFonts w:ascii="仿宋_GB2312" w:hint="eastAsia"/>
          <w:sz w:val="32"/>
        </w:rPr>
        <w:t>互联互通，</w:t>
      </w:r>
      <w:r w:rsidR="00A20DBB" w:rsidRPr="00EF6C76">
        <w:rPr>
          <w:rFonts w:ascii="仿宋_GB2312" w:hint="eastAsia"/>
          <w:sz w:val="32"/>
        </w:rPr>
        <w:t>实现优质教育资源共建共享，</w:t>
      </w:r>
      <w:r w:rsidR="00C21B1E" w:rsidRPr="00EF6C76">
        <w:rPr>
          <w:rFonts w:ascii="仿宋_GB2312" w:hint="eastAsia"/>
          <w:sz w:val="32"/>
        </w:rPr>
        <w:t>为各种信息化应用提供网络支撑</w:t>
      </w:r>
      <w:r w:rsidR="00A20DBB" w:rsidRPr="00EF6C76">
        <w:rPr>
          <w:rFonts w:ascii="仿宋_GB2312" w:hint="eastAsia"/>
          <w:sz w:val="32"/>
        </w:rPr>
        <w:t>环境</w:t>
      </w:r>
      <w:r w:rsidR="00C21B1E" w:rsidRPr="00EF6C76">
        <w:rPr>
          <w:rFonts w:ascii="仿宋_GB2312" w:hint="eastAsia"/>
          <w:sz w:val="32"/>
        </w:rPr>
        <w:t>。</w:t>
      </w:r>
    </w:p>
    <w:p w:rsidR="005D2871" w:rsidRPr="00EF6C76" w:rsidRDefault="00C21B1E" w:rsidP="007E1DBC">
      <w:pPr>
        <w:pStyle w:val="ab"/>
      </w:pPr>
      <w:bookmarkStart w:id="42" w:name="_Toc372392398"/>
      <w:bookmarkStart w:id="43" w:name="_Toc372392399"/>
      <w:bookmarkStart w:id="44" w:name="_Toc372392400"/>
      <w:bookmarkStart w:id="45" w:name="_Toc372392401"/>
      <w:bookmarkStart w:id="46" w:name="_Toc372392402"/>
      <w:bookmarkStart w:id="47" w:name="_Toc372100971"/>
      <w:bookmarkStart w:id="48" w:name="_Toc328394506"/>
      <w:bookmarkStart w:id="49" w:name="_Toc360020375"/>
      <w:bookmarkStart w:id="50" w:name="_Toc372624925"/>
      <w:bookmarkEnd w:id="42"/>
      <w:bookmarkEnd w:id="43"/>
      <w:bookmarkEnd w:id="44"/>
      <w:bookmarkEnd w:id="45"/>
      <w:bookmarkEnd w:id="46"/>
      <w:bookmarkEnd w:id="47"/>
      <w:r w:rsidRPr="00EF6C76">
        <w:rPr>
          <w:rFonts w:hint="eastAsia"/>
        </w:rPr>
        <w:t>（二）建设原则</w:t>
      </w:r>
      <w:bookmarkEnd w:id="48"/>
      <w:bookmarkEnd w:id="49"/>
      <w:bookmarkEnd w:id="50"/>
    </w:p>
    <w:p w:rsidR="00EF6C76" w:rsidRDefault="00EF6C76" w:rsidP="00EF6C76">
      <w:pPr>
        <w:spacing w:before="100" w:beforeAutospacing="1" w:after="100" w:afterAutospacing="1"/>
        <w:ind w:firstLineChars="189" w:firstLine="626"/>
        <w:rPr>
          <w:rFonts w:ascii="仿宋_GB2312"/>
          <w:sz w:val="32"/>
        </w:rPr>
      </w:pPr>
      <w:r w:rsidRPr="00EF6C76">
        <w:rPr>
          <w:rFonts w:ascii="仿宋_GB2312" w:hint="eastAsia"/>
          <w:b/>
          <w:sz w:val="32"/>
        </w:rPr>
        <w:t>第五条</w:t>
      </w:r>
      <w:r>
        <w:rPr>
          <w:rFonts w:ascii="仿宋_GB2312" w:hint="eastAsia"/>
          <w:sz w:val="32"/>
        </w:rPr>
        <w:t xml:space="preserve"> </w:t>
      </w:r>
      <w:r w:rsidR="00D32235">
        <w:rPr>
          <w:rFonts w:ascii="仿宋_GB2312" w:hint="eastAsia"/>
          <w:sz w:val="32"/>
        </w:rPr>
        <w:t>坚持“统筹兼顾、协调发展”的规划原则，</w:t>
      </w:r>
      <w:r w:rsidR="00C21B1E" w:rsidRPr="00EF6C76">
        <w:rPr>
          <w:rFonts w:ascii="仿宋_GB2312" w:hint="eastAsia"/>
          <w:sz w:val="32"/>
        </w:rPr>
        <w:t>各级教育城域网</w:t>
      </w:r>
      <w:r w:rsidR="00D32235">
        <w:rPr>
          <w:rFonts w:ascii="仿宋_GB2312" w:hint="eastAsia"/>
          <w:sz w:val="32"/>
        </w:rPr>
        <w:t>建设要</w:t>
      </w:r>
      <w:r w:rsidR="00D32235" w:rsidRPr="001B1934">
        <w:rPr>
          <w:rFonts w:ascii="仿宋_GB2312" w:hint="eastAsia"/>
          <w:sz w:val="32"/>
        </w:rPr>
        <w:t>融入</w:t>
      </w:r>
      <w:r w:rsidR="00C21B1E" w:rsidRPr="00EF6C76">
        <w:rPr>
          <w:rFonts w:ascii="仿宋_GB2312" w:hint="eastAsia"/>
          <w:sz w:val="32"/>
        </w:rPr>
        <w:t>全</w:t>
      </w:r>
      <w:r w:rsidR="00FA1F17" w:rsidRPr="00EF6C76">
        <w:rPr>
          <w:rFonts w:ascii="仿宋_GB2312" w:hint="eastAsia"/>
          <w:sz w:val="32"/>
        </w:rPr>
        <w:t>市</w:t>
      </w:r>
      <w:r w:rsidR="00C21B1E" w:rsidRPr="00EF6C76">
        <w:rPr>
          <w:rFonts w:ascii="仿宋_GB2312" w:hint="eastAsia"/>
          <w:sz w:val="32"/>
        </w:rPr>
        <w:t>教育网络体系规划</w:t>
      </w:r>
      <w:r>
        <w:rPr>
          <w:rFonts w:ascii="仿宋_GB2312" w:hint="eastAsia"/>
          <w:sz w:val="32"/>
        </w:rPr>
        <w:t>。</w:t>
      </w:r>
    </w:p>
    <w:p w:rsidR="005D2871" w:rsidRPr="00EF6C76" w:rsidRDefault="00381633" w:rsidP="00EF6C76">
      <w:pPr>
        <w:spacing w:before="100" w:beforeAutospacing="1" w:after="100" w:afterAutospacing="1"/>
        <w:ind w:firstLineChars="189" w:firstLine="623"/>
        <w:rPr>
          <w:rFonts w:ascii="仿宋_GB2312"/>
          <w:sz w:val="32"/>
        </w:rPr>
      </w:pPr>
      <w:r w:rsidRPr="00EF6C76">
        <w:rPr>
          <w:rFonts w:ascii="仿宋_GB2312" w:hint="eastAsia"/>
          <w:sz w:val="32"/>
        </w:rPr>
        <w:t>旗县区教育局负责本旗县区教育城域网建设和运维，</w:t>
      </w:r>
      <w:r w:rsidR="00C21B1E" w:rsidRPr="00EF6C76">
        <w:rPr>
          <w:rFonts w:ascii="仿宋_GB2312" w:hint="eastAsia"/>
          <w:sz w:val="32"/>
        </w:rPr>
        <w:t>坚持“面向应用，注重实效”的实施原则，从实际需求出发，开发有效应用，增强网络功能，防范“有路无车”、“有车无货”问题的出现；坚持“安全可靠、易于维护”的建设原则，采用先进、成熟的技术和设备，降低建设、运维成本，避免出现性能瓶颈和投资浪费。</w:t>
      </w:r>
    </w:p>
    <w:p w:rsidR="005D2871" w:rsidRPr="00EF6C76" w:rsidRDefault="00E24885" w:rsidP="007E1DBC">
      <w:pPr>
        <w:pStyle w:val="1"/>
      </w:pPr>
      <w:bookmarkStart w:id="51" w:name="_Toc372624926"/>
      <w:bookmarkStart w:id="52" w:name="_Toc372624927"/>
      <w:bookmarkStart w:id="53" w:name="_Toc372624928"/>
      <w:bookmarkStart w:id="54" w:name="_Toc372624929"/>
      <w:bookmarkStart w:id="55" w:name="_Toc372392404"/>
      <w:bookmarkStart w:id="56" w:name="_Toc372392405"/>
      <w:bookmarkStart w:id="57" w:name="_Toc372392406"/>
      <w:bookmarkStart w:id="58" w:name="_Toc372392407"/>
      <w:bookmarkStart w:id="59" w:name="_Toc372392408"/>
      <w:bookmarkStart w:id="60" w:name="_Toc372624930"/>
      <w:bookmarkEnd w:id="51"/>
      <w:bookmarkEnd w:id="52"/>
      <w:bookmarkEnd w:id="53"/>
      <w:bookmarkEnd w:id="54"/>
      <w:bookmarkEnd w:id="55"/>
      <w:bookmarkEnd w:id="56"/>
      <w:bookmarkEnd w:id="57"/>
      <w:bookmarkEnd w:id="58"/>
      <w:bookmarkEnd w:id="59"/>
      <w:r>
        <w:rPr>
          <w:rFonts w:hint="eastAsia"/>
        </w:rPr>
        <w:t>第四章</w:t>
      </w:r>
      <w:r w:rsidRPr="00EF6C76">
        <w:rPr>
          <w:rFonts w:hint="eastAsia"/>
        </w:rPr>
        <w:t>、建设内容与要求</w:t>
      </w:r>
      <w:bookmarkEnd w:id="60"/>
    </w:p>
    <w:p w:rsidR="0053055F" w:rsidRPr="00EF6C76" w:rsidRDefault="0053055F" w:rsidP="0053055F">
      <w:pPr>
        <w:pStyle w:val="a6"/>
        <w:spacing w:before="100" w:beforeAutospacing="1" w:after="100" w:afterAutospacing="1"/>
        <w:ind w:firstLineChars="189" w:firstLine="626"/>
        <w:rPr>
          <w:rFonts w:ascii="仿宋_GB2312" w:eastAsia="仿宋_GB2312" w:hAnsi="Calibri"/>
          <w:kern w:val="2"/>
          <w:sz w:val="32"/>
          <w:szCs w:val="22"/>
        </w:rPr>
      </w:pPr>
      <w:bookmarkStart w:id="61" w:name="_Toc360020377"/>
      <w:r w:rsidRPr="0053055F">
        <w:rPr>
          <w:rFonts w:ascii="仿宋_GB2312" w:eastAsia="仿宋_GB2312" w:hAnsi="Calibri" w:hint="eastAsia"/>
          <w:b/>
          <w:kern w:val="2"/>
          <w:sz w:val="32"/>
          <w:szCs w:val="22"/>
        </w:rPr>
        <w:t>第六条</w:t>
      </w:r>
      <w:r>
        <w:rPr>
          <w:rFonts w:ascii="仿宋_GB2312" w:eastAsia="仿宋_GB2312" w:hAnsi="Calibri" w:hint="eastAsia"/>
          <w:kern w:val="2"/>
          <w:sz w:val="32"/>
          <w:szCs w:val="22"/>
        </w:rPr>
        <w:t xml:space="preserve"> </w:t>
      </w:r>
      <w:r w:rsidRPr="00EF6C76">
        <w:rPr>
          <w:rFonts w:ascii="仿宋_GB2312" w:eastAsia="仿宋_GB2312" w:hAnsi="Calibri" w:hint="eastAsia"/>
          <w:kern w:val="2"/>
          <w:sz w:val="32"/>
          <w:szCs w:val="22"/>
        </w:rPr>
        <w:t>教育城域网的建设内容主要包括网络中心、传输网络及应用系统等。</w:t>
      </w:r>
    </w:p>
    <w:p w:rsidR="003B5D85" w:rsidRDefault="0053055F" w:rsidP="003B5D85">
      <w:pPr>
        <w:pStyle w:val="ab"/>
      </w:pPr>
      <w:bookmarkStart w:id="62" w:name="_Toc372624931"/>
      <w:r w:rsidRPr="00EF6C76">
        <w:rPr>
          <w:rFonts w:hint="eastAsia"/>
        </w:rPr>
        <w:t>（一）网络中心</w:t>
      </w:r>
      <w:bookmarkEnd w:id="61"/>
      <w:bookmarkEnd w:id="62"/>
    </w:p>
    <w:p w:rsidR="005D2871" w:rsidRPr="003B5D85" w:rsidRDefault="00C21B1E" w:rsidP="003B5D85">
      <w:pPr>
        <w:pStyle w:val="ab"/>
        <w:ind w:firstLineChars="200" w:firstLine="660"/>
      </w:pPr>
      <w:r w:rsidRPr="00EF6C76">
        <w:rPr>
          <w:rFonts w:ascii="仿宋_GB2312" w:eastAsia="仿宋_GB2312" w:hAnsi="Calibri" w:hint="eastAsia"/>
          <w:kern w:val="2"/>
          <w:szCs w:val="22"/>
        </w:rPr>
        <w:t>网络中心是教育城域网的物理核心和应用核心，为教育城</w:t>
      </w:r>
      <w:r w:rsidRPr="00EF6C76">
        <w:rPr>
          <w:rFonts w:ascii="仿宋_GB2312" w:eastAsia="仿宋_GB2312" w:hAnsi="Calibri" w:hint="eastAsia"/>
          <w:kern w:val="2"/>
          <w:szCs w:val="22"/>
        </w:rPr>
        <w:lastRenderedPageBreak/>
        <w:t>域网和各类应用系统提供运行环境和运维保障。其建设内容主要包括机房环境、硬件设备、基础软件等。</w:t>
      </w:r>
    </w:p>
    <w:p w:rsidR="005D2871" w:rsidRPr="00EF6C76" w:rsidRDefault="00C21B1E" w:rsidP="003B5D85">
      <w:pPr>
        <w:pStyle w:val="a6"/>
        <w:spacing w:beforeLines="50" w:before="293" w:afterLines="50" w:after="293" w:line="340" w:lineRule="atLeast"/>
        <w:ind w:firstLineChars="189" w:firstLine="623"/>
        <w:rPr>
          <w:rFonts w:ascii="仿宋_GB2312" w:eastAsia="仿宋_GB2312" w:hAnsi="Calibri"/>
          <w:kern w:val="2"/>
          <w:sz w:val="32"/>
          <w:szCs w:val="22"/>
        </w:rPr>
      </w:pPr>
      <w:r w:rsidRPr="00EF6C76">
        <w:rPr>
          <w:rFonts w:ascii="仿宋_GB2312" w:eastAsia="仿宋_GB2312" w:hAnsi="Calibri" w:hint="eastAsia"/>
          <w:kern w:val="2"/>
          <w:sz w:val="32"/>
          <w:szCs w:val="22"/>
        </w:rPr>
        <w:t>1.机房环境</w:t>
      </w:r>
    </w:p>
    <w:p w:rsidR="005D2871" w:rsidRPr="00EF6C76" w:rsidRDefault="00C21B1E" w:rsidP="003B5D85">
      <w:pPr>
        <w:pStyle w:val="a6"/>
        <w:spacing w:beforeLines="50" w:before="293" w:afterLines="50" w:after="293" w:line="340" w:lineRule="atLeast"/>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机房环境建设主要指网络中心机房装修及电力、空调、消防、门禁、监控等子系统建设。根据《电子计算机机房设计规范》（</w:t>
      </w:r>
      <w:r w:rsidRPr="00EF6C76">
        <w:rPr>
          <w:rFonts w:ascii="仿宋_GB2312" w:eastAsia="仿宋_GB2312" w:hAnsi="Calibri" w:hint="eastAsia"/>
          <w:kern w:val="2"/>
          <w:sz w:val="32"/>
          <w:szCs w:val="22"/>
        </w:rPr>
        <w:t> </w:t>
      </w:r>
      <w:r w:rsidRPr="00EF6C76">
        <w:rPr>
          <w:rFonts w:ascii="仿宋_GB2312" w:eastAsia="仿宋_GB2312" w:hAnsi="Calibri" w:hint="eastAsia"/>
          <w:kern w:val="2"/>
          <w:sz w:val="32"/>
          <w:szCs w:val="22"/>
        </w:rPr>
        <w:t>GB50174-92</w:t>
      </w:r>
      <w:r w:rsidRPr="00EF6C76">
        <w:rPr>
          <w:rFonts w:ascii="仿宋_GB2312" w:eastAsia="仿宋_GB2312" w:hAnsi="Calibri" w:hint="eastAsia"/>
          <w:kern w:val="2"/>
          <w:sz w:val="32"/>
          <w:szCs w:val="22"/>
        </w:rPr>
        <w:t> </w:t>
      </w:r>
      <w:r w:rsidRPr="00EF6C76">
        <w:rPr>
          <w:rFonts w:ascii="仿宋_GB2312" w:eastAsia="仿宋_GB2312" w:hAnsi="Calibri" w:hint="eastAsia"/>
          <w:kern w:val="2"/>
          <w:sz w:val="32"/>
          <w:szCs w:val="22"/>
        </w:rPr>
        <w:t>），网络中心机房可分为A（容错型）、B</w:t>
      </w:r>
      <w:r w:rsidRPr="00EF6C76">
        <w:rPr>
          <w:rFonts w:ascii="仿宋_GB2312" w:eastAsia="仿宋_GB2312" w:hAnsi="Calibri" w:hint="eastAsia"/>
          <w:kern w:val="2"/>
          <w:sz w:val="32"/>
          <w:szCs w:val="22"/>
        </w:rPr>
        <w:t> </w:t>
      </w:r>
      <w:r w:rsidRPr="00EF6C76">
        <w:rPr>
          <w:rFonts w:ascii="仿宋_GB2312" w:eastAsia="仿宋_GB2312" w:hAnsi="Calibri" w:hint="eastAsia"/>
          <w:kern w:val="2"/>
          <w:sz w:val="32"/>
          <w:szCs w:val="22"/>
        </w:rPr>
        <w:t>（冗余型）、C（基本型）三个级别。根据其重要性，市级网络中心应参照B级及以上标准建设，县级网络中心应参照C级及以上标准建设。网络中心机房环境建设具体要求详见附表1-1。</w:t>
      </w:r>
    </w:p>
    <w:p w:rsidR="005D2871" w:rsidRPr="00EF6C76" w:rsidRDefault="00C21B1E" w:rsidP="003B5D85">
      <w:pPr>
        <w:pStyle w:val="a6"/>
        <w:spacing w:beforeLines="50" w:before="293" w:afterLines="50" w:after="293" w:line="340" w:lineRule="atLeast"/>
        <w:ind w:firstLineChars="188" w:firstLine="620"/>
        <w:rPr>
          <w:rFonts w:ascii="仿宋_GB2312" w:eastAsia="仿宋_GB2312" w:hAnsi="Calibri"/>
          <w:kern w:val="2"/>
          <w:sz w:val="32"/>
          <w:szCs w:val="22"/>
        </w:rPr>
      </w:pPr>
      <w:r w:rsidRPr="00EF6C76">
        <w:rPr>
          <w:rFonts w:ascii="仿宋_GB2312" w:eastAsia="仿宋_GB2312" w:hAnsi="Calibri" w:hint="eastAsia"/>
          <w:kern w:val="2"/>
          <w:sz w:val="32"/>
          <w:szCs w:val="22"/>
        </w:rPr>
        <w:t>2.硬件设备</w:t>
      </w:r>
    </w:p>
    <w:p w:rsidR="005D2871" w:rsidRPr="00EF6C76" w:rsidRDefault="00C21B1E" w:rsidP="003B5D85">
      <w:pPr>
        <w:pStyle w:val="a6"/>
        <w:spacing w:beforeLines="50" w:before="293" w:afterLines="50" w:after="293" w:line="340" w:lineRule="atLeast"/>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网络中心硬件设备主要包括核心网络设备、网络安全设备、服务器、存储、备份设备、机柜及配套设施等。网络中心主要设备构成示意图见图4，建设具体要求详见附表1-2、1-3。</w:t>
      </w:r>
    </w:p>
    <w:p w:rsidR="005D2871" w:rsidRPr="00EF6C76" w:rsidRDefault="00321E3A"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noProof/>
          <w:kern w:val="2"/>
          <w:sz w:val="32"/>
          <w:szCs w:val="22"/>
        </w:rPr>
        <w:drawing>
          <wp:anchor distT="0" distB="0" distL="114300" distR="114300" simplePos="0" relativeHeight="251657728" behindDoc="0" locked="0" layoutInCell="1" allowOverlap="1" wp14:anchorId="70F1960A" wp14:editId="7F15FF68">
            <wp:simplePos x="0" y="0"/>
            <wp:positionH relativeFrom="column">
              <wp:posOffset>366395</wp:posOffset>
            </wp:positionH>
            <wp:positionV relativeFrom="paragraph">
              <wp:posOffset>40640</wp:posOffset>
            </wp:positionV>
            <wp:extent cx="4658360" cy="2058670"/>
            <wp:effectExtent l="0" t="0" r="8890" b="0"/>
            <wp:wrapSquare wrapText="bothSides"/>
            <wp:docPr id="5" name="图片 5" descr="网络中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网络中心"/>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8360" cy="2058670"/>
                    </a:xfrm>
                    <a:prstGeom prst="rect">
                      <a:avLst/>
                    </a:prstGeom>
                    <a:noFill/>
                  </pic:spPr>
                </pic:pic>
              </a:graphicData>
            </a:graphic>
            <wp14:sizeRelH relativeFrom="page">
              <wp14:pctWidth>0</wp14:pctWidth>
            </wp14:sizeRelH>
            <wp14:sizeRelV relativeFrom="page">
              <wp14:pctHeight>0</wp14:pctHeight>
            </wp14:sizeRelV>
          </wp:anchor>
        </w:drawing>
      </w:r>
    </w:p>
    <w:p w:rsidR="005D2871" w:rsidRPr="00EF6C76" w:rsidRDefault="005D2871" w:rsidP="00AC2E96">
      <w:pPr>
        <w:spacing w:before="100" w:beforeAutospacing="1" w:after="100" w:afterAutospacing="1"/>
        <w:jc w:val="center"/>
        <w:rPr>
          <w:rFonts w:ascii="仿宋_GB2312"/>
          <w:sz w:val="32"/>
        </w:rPr>
      </w:pPr>
    </w:p>
    <w:p w:rsidR="003B5D85" w:rsidRDefault="003B5D85" w:rsidP="003B5D85">
      <w:pPr>
        <w:pStyle w:val="a6"/>
        <w:spacing w:before="100" w:beforeAutospacing="1" w:after="100" w:afterAutospacing="1"/>
        <w:ind w:firstLineChars="0" w:firstLine="0"/>
        <w:rPr>
          <w:rFonts w:ascii="仿宋_GB2312" w:eastAsia="仿宋_GB2312" w:hAnsi="Calibri"/>
          <w:kern w:val="2"/>
          <w:sz w:val="32"/>
          <w:szCs w:val="22"/>
        </w:rPr>
      </w:pPr>
    </w:p>
    <w:p w:rsidR="003B5D85" w:rsidRDefault="003B5D85" w:rsidP="003B5D85">
      <w:pPr>
        <w:pStyle w:val="a6"/>
        <w:spacing w:before="100" w:beforeAutospacing="1" w:after="100" w:afterAutospacing="1"/>
        <w:ind w:firstLineChars="0" w:firstLine="0"/>
        <w:rPr>
          <w:rFonts w:ascii="仿宋_GB2312" w:eastAsia="仿宋_GB2312" w:hAnsi="Calibri"/>
          <w:kern w:val="2"/>
          <w:sz w:val="32"/>
          <w:szCs w:val="22"/>
        </w:rPr>
      </w:pPr>
    </w:p>
    <w:p w:rsidR="005D2871" w:rsidRPr="00EF6C76" w:rsidRDefault="00C21B1E" w:rsidP="003B5D85">
      <w:pPr>
        <w:pStyle w:val="a6"/>
        <w:spacing w:before="100" w:beforeAutospacing="1" w:after="100" w:afterAutospacing="1"/>
        <w:ind w:firstLineChars="0" w:firstLine="0"/>
        <w:jc w:val="center"/>
        <w:rPr>
          <w:rFonts w:ascii="仿宋_GB2312" w:eastAsia="仿宋_GB2312" w:hAnsi="Calibri"/>
          <w:kern w:val="2"/>
          <w:sz w:val="32"/>
          <w:szCs w:val="22"/>
        </w:rPr>
      </w:pPr>
      <w:r w:rsidRPr="00EF6C76">
        <w:rPr>
          <w:rFonts w:ascii="仿宋_GB2312" w:eastAsia="仿宋_GB2312" w:hAnsi="Calibri" w:hint="eastAsia"/>
          <w:kern w:val="2"/>
          <w:sz w:val="32"/>
          <w:szCs w:val="22"/>
        </w:rPr>
        <w:t>图4 网络中心主要设备构成示意图</w:t>
      </w:r>
    </w:p>
    <w:p w:rsidR="005D2871" w:rsidRPr="00EF6C76" w:rsidRDefault="00C21B1E" w:rsidP="00EF6C76">
      <w:pPr>
        <w:pStyle w:val="a6"/>
        <w:spacing w:before="100" w:beforeAutospacing="1" w:after="100" w:afterAutospacing="1"/>
        <w:ind w:firstLineChars="188" w:firstLine="620"/>
        <w:rPr>
          <w:rFonts w:ascii="仿宋_GB2312" w:eastAsia="仿宋_GB2312" w:hAnsi="Calibri"/>
          <w:kern w:val="2"/>
          <w:sz w:val="32"/>
          <w:szCs w:val="22"/>
        </w:rPr>
      </w:pPr>
      <w:r w:rsidRPr="00EF6C76">
        <w:rPr>
          <w:rFonts w:ascii="仿宋_GB2312" w:eastAsia="仿宋_GB2312" w:hAnsi="Calibri" w:hint="eastAsia"/>
          <w:kern w:val="2"/>
          <w:sz w:val="32"/>
          <w:szCs w:val="22"/>
        </w:rPr>
        <w:lastRenderedPageBreak/>
        <w:t>3.基础软件</w:t>
      </w:r>
    </w:p>
    <w:p w:rsidR="005D2871" w:rsidRPr="00EF6C76" w:rsidRDefault="00C21B1E" w:rsidP="00EF6C76">
      <w:pPr>
        <w:pStyle w:val="a6"/>
        <w:spacing w:before="100" w:beforeAutospacing="1" w:after="100" w:afterAutospacing="1"/>
        <w:ind w:firstLineChars="188" w:firstLine="620"/>
        <w:rPr>
          <w:rFonts w:ascii="仿宋_GB2312" w:eastAsia="仿宋_GB2312" w:hAnsi="Calibri"/>
          <w:kern w:val="2"/>
          <w:sz w:val="32"/>
          <w:szCs w:val="22"/>
        </w:rPr>
      </w:pPr>
      <w:r w:rsidRPr="00EF6C76">
        <w:rPr>
          <w:rFonts w:ascii="仿宋_GB2312" w:eastAsia="仿宋_GB2312" w:hAnsi="Calibri" w:hint="eastAsia"/>
          <w:kern w:val="2"/>
          <w:sz w:val="32"/>
          <w:szCs w:val="22"/>
        </w:rPr>
        <w:t>网络中心基础软件主要包括服务器操作系统软件、虚拟化软件、云计算服务管理软件、数据库软件、防病毒软件及网络管理软件等。网络中心基础软件建设要求详见附表1-4。</w:t>
      </w:r>
    </w:p>
    <w:p w:rsidR="005D2871" w:rsidRPr="00EF6C76" w:rsidRDefault="00C21B1E" w:rsidP="007E1DBC">
      <w:pPr>
        <w:pStyle w:val="ab"/>
      </w:pPr>
      <w:r w:rsidRPr="00EF6C76">
        <w:rPr>
          <w:rFonts w:hint="eastAsia"/>
        </w:rPr>
        <w:t>（二）传输网络</w:t>
      </w:r>
    </w:p>
    <w:p w:rsidR="00572B35" w:rsidRPr="00EF6C76" w:rsidRDefault="00572B35" w:rsidP="00EF6C76">
      <w:pPr>
        <w:spacing w:before="100" w:beforeAutospacing="1" w:after="100" w:afterAutospacing="1"/>
        <w:ind w:firstLineChars="188" w:firstLine="620"/>
        <w:rPr>
          <w:rFonts w:ascii="仿宋_GB2312"/>
          <w:sz w:val="32"/>
        </w:rPr>
      </w:pPr>
      <w:r w:rsidRPr="00EF6C76">
        <w:rPr>
          <w:rFonts w:ascii="仿宋_GB2312" w:hint="eastAsia"/>
          <w:sz w:val="32"/>
        </w:rPr>
        <w:t>传输网络是指教育城域网中的“信息高速公路”，由网络节点及其相连链路组成。巴彦淖尔市教育城域网采用市、旗县区、学校三级架构体系，旗县区各学校通过千兆链路裸光纤汇聚至旗县区教育局数据中心机房；由旗县区教育中心机房通过千兆链路汇聚至市教育局中心机房，全市各教育单位共同组成教育内网，承载各种网内业务。</w:t>
      </w:r>
    </w:p>
    <w:p w:rsidR="000F33B2" w:rsidRDefault="000F33B2" w:rsidP="000F33B2">
      <w:pPr>
        <w:spacing w:before="100" w:beforeAutospacing="1" w:after="100" w:afterAutospacing="1"/>
        <w:ind w:firstLineChars="188" w:firstLine="622"/>
        <w:rPr>
          <w:rFonts w:ascii="仿宋_GB2312"/>
          <w:b/>
          <w:sz w:val="32"/>
        </w:rPr>
      </w:pPr>
      <w:r w:rsidRPr="000F33B2">
        <w:rPr>
          <w:rFonts w:ascii="仿宋_GB2312" w:hint="eastAsia"/>
          <w:b/>
          <w:sz w:val="32"/>
        </w:rPr>
        <w:t>第七条</w:t>
      </w:r>
      <w:r>
        <w:rPr>
          <w:rFonts w:ascii="仿宋_GB2312" w:hint="eastAsia"/>
          <w:sz w:val="32"/>
        </w:rPr>
        <w:t xml:space="preserve"> </w:t>
      </w:r>
      <w:r w:rsidRPr="00EF6C76">
        <w:rPr>
          <w:rFonts w:ascii="仿宋_GB2312" w:hint="eastAsia"/>
          <w:sz w:val="32"/>
        </w:rPr>
        <w:t>市</w:t>
      </w:r>
      <w:r>
        <w:rPr>
          <w:rFonts w:ascii="仿宋_GB2312" w:hint="eastAsia"/>
          <w:sz w:val="32"/>
        </w:rPr>
        <w:t>教育局</w:t>
      </w:r>
      <w:r w:rsidRPr="00EF6C76">
        <w:rPr>
          <w:rFonts w:ascii="仿宋_GB2312" w:hint="eastAsia"/>
          <w:sz w:val="32"/>
        </w:rPr>
        <w:t>中心机房设备主要</w:t>
      </w:r>
      <w:r>
        <w:rPr>
          <w:rFonts w:ascii="仿宋_GB2312" w:hint="eastAsia"/>
          <w:sz w:val="32"/>
        </w:rPr>
        <w:t>有出口路由器、核心交换机、</w:t>
      </w:r>
      <w:r w:rsidRPr="00EF6C76">
        <w:rPr>
          <w:rFonts w:ascii="仿宋_GB2312" w:hint="eastAsia"/>
          <w:sz w:val="32"/>
        </w:rPr>
        <w:t>防火墙设备、数据中心防火墙、WEB应用防火墙</w:t>
      </w:r>
      <w:r>
        <w:rPr>
          <w:rFonts w:ascii="仿宋_GB2312" w:hint="eastAsia"/>
          <w:sz w:val="32"/>
        </w:rPr>
        <w:t>、网络管理平台</w:t>
      </w:r>
      <w:r w:rsidRPr="00EF6C76">
        <w:rPr>
          <w:rFonts w:ascii="仿宋_GB2312" w:hint="eastAsia"/>
          <w:sz w:val="32"/>
        </w:rPr>
        <w:t>、上网行为管理设备、数据审核设备、堡垒机等设备、IPS、负载均衡</w:t>
      </w:r>
      <w:r>
        <w:rPr>
          <w:rFonts w:ascii="仿宋_GB2312" w:hint="eastAsia"/>
          <w:sz w:val="32"/>
        </w:rPr>
        <w:t>等。</w:t>
      </w:r>
    </w:p>
    <w:p w:rsidR="00A117D9" w:rsidRDefault="00A117D9" w:rsidP="00A117D9">
      <w:pPr>
        <w:spacing w:before="100" w:beforeAutospacing="1" w:after="100" w:afterAutospacing="1"/>
        <w:ind w:firstLineChars="188" w:firstLine="622"/>
        <w:rPr>
          <w:rFonts w:ascii="仿宋_GB2312"/>
          <w:sz w:val="32"/>
        </w:rPr>
      </w:pPr>
      <w:r w:rsidRPr="00A117D9">
        <w:rPr>
          <w:rFonts w:ascii="仿宋_GB2312" w:hint="eastAsia"/>
          <w:b/>
          <w:sz w:val="32"/>
        </w:rPr>
        <w:t>第</w:t>
      </w:r>
      <w:r w:rsidR="000F33B2">
        <w:rPr>
          <w:rFonts w:ascii="仿宋_GB2312" w:hint="eastAsia"/>
          <w:b/>
          <w:sz w:val="32"/>
        </w:rPr>
        <w:t>八</w:t>
      </w:r>
      <w:r w:rsidRPr="00A117D9">
        <w:rPr>
          <w:rFonts w:ascii="仿宋_GB2312" w:hint="eastAsia"/>
          <w:b/>
          <w:sz w:val="32"/>
        </w:rPr>
        <w:t>条</w:t>
      </w:r>
      <w:r>
        <w:rPr>
          <w:rFonts w:ascii="仿宋_GB2312" w:hint="eastAsia"/>
          <w:sz w:val="32"/>
        </w:rPr>
        <w:t xml:space="preserve"> </w:t>
      </w:r>
      <w:r w:rsidRPr="00EF6C76">
        <w:rPr>
          <w:rFonts w:ascii="仿宋_GB2312" w:hint="eastAsia"/>
          <w:sz w:val="32"/>
        </w:rPr>
        <w:t>旗县区</w:t>
      </w:r>
      <w:r>
        <w:rPr>
          <w:rFonts w:ascii="仿宋_GB2312" w:hint="eastAsia"/>
          <w:sz w:val="32"/>
        </w:rPr>
        <w:t>教育局中心机房</w:t>
      </w:r>
      <w:r w:rsidRPr="00EF6C76">
        <w:rPr>
          <w:rFonts w:ascii="仿宋_GB2312" w:hint="eastAsia"/>
          <w:sz w:val="32"/>
        </w:rPr>
        <w:t>设备主要包括</w:t>
      </w:r>
      <w:r>
        <w:rPr>
          <w:rFonts w:ascii="仿宋_GB2312" w:hint="eastAsia"/>
          <w:sz w:val="32"/>
        </w:rPr>
        <w:t>出口路由器、</w:t>
      </w:r>
      <w:r w:rsidRPr="00EF6C76">
        <w:rPr>
          <w:rFonts w:ascii="仿宋_GB2312" w:hint="eastAsia"/>
          <w:sz w:val="32"/>
        </w:rPr>
        <w:t>核心交换机、上网行为管理设备和防火墙设备</w:t>
      </w:r>
      <w:r>
        <w:rPr>
          <w:rFonts w:ascii="仿宋_GB2312" w:hint="eastAsia"/>
          <w:sz w:val="32"/>
        </w:rPr>
        <w:t>。</w:t>
      </w:r>
    </w:p>
    <w:p w:rsidR="00A117D9" w:rsidRDefault="00A117D9" w:rsidP="001D12E8">
      <w:pPr>
        <w:spacing w:before="100" w:beforeAutospacing="1" w:after="100" w:afterAutospacing="1"/>
        <w:ind w:firstLineChars="188" w:firstLine="622"/>
        <w:rPr>
          <w:rFonts w:ascii="仿宋_GB2312"/>
          <w:sz w:val="32"/>
        </w:rPr>
      </w:pPr>
      <w:r w:rsidRPr="001D12E8">
        <w:rPr>
          <w:rFonts w:ascii="仿宋_GB2312" w:hint="eastAsia"/>
          <w:b/>
          <w:sz w:val="32"/>
        </w:rPr>
        <w:t>第</w:t>
      </w:r>
      <w:r w:rsidR="000F33B2">
        <w:rPr>
          <w:rFonts w:ascii="仿宋_GB2312" w:hint="eastAsia"/>
          <w:b/>
          <w:sz w:val="32"/>
        </w:rPr>
        <w:t>九</w:t>
      </w:r>
      <w:r w:rsidRPr="001D12E8">
        <w:rPr>
          <w:rFonts w:ascii="仿宋_GB2312" w:hint="eastAsia"/>
          <w:b/>
          <w:sz w:val="32"/>
        </w:rPr>
        <w:t>条</w:t>
      </w:r>
      <w:r w:rsidR="00D32235">
        <w:rPr>
          <w:rFonts w:ascii="仿宋_GB2312" w:hint="eastAsia"/>
          <w:b/>
          <w:sz w:val="32"/>
        </w:rPr>
        <w:t xml:space="preserve"> </w:t>
      </w:r>
      <w:r w:rsidR="001D12E8">
        <w:rPr>
          <w:rFonts w:ascii="仿宋_GB2312" w:hint="eastAsia"/>
          <w:sz w:val="32"/>
        </w:rPr>
        <w:t>学校</w:t>
      </w:r>
      <w:r w:rsidR="001D12E8" w:rsidRPr="001D12E8">
        <w:rPr>
          <w:rFonts w:ascii="仿宋_GB2312" w:hint="eastAsia"/>
          <w:sz w:val="32"/>
        </w:rPr>
        <w:t>部署安全交换设备，学校所有的接入交换机设备全部汇聚至这台安全交换出口设备上</w:t>
      </w:r>
      <w:r w:rsidR="001D12E8">
        <w:rPr>
          <w:rFonts w:ascii="仿宋_GB2312" w:hint="eastAsia"/>
          <w:sz w:val="32"/>
        </w:rPr>
        <w:t>，</w:t>
      </w:r>
      <w:r w:rsidR="001D12E8" w:rsidRPr="001D12E8">
        <w:rPr>
          <w:rFonts w:ascii="仿宋_GB2312" w:hint="eastAsia"/>
          <w:sz w:val="32"/>
        </w:rPr>
        <w:t>后期</w:t>
      </w:r>
      <w:r w:rsidR="001D12E8">
        <w:rPr>
          <w:rFonts w:ascii="仿宋_GB2312" w:hint="eastAsia"/>
          <w:sz w:val="32"/>
        </w:rPr>
        <w:t>满足</w:t>
      </w:r>
      <w:r w:rsidR="001D12E8" w:rsidRPr="001D12E8">
        <w:rPr>
          <w:rFonts w:ascii="仿宋_GB2312" w:hint="eastAsia"/>
          <w:sz w:val="32"/>
        </w:rPr>
        <w:t>学校网络扩容以及近年来信息化发展的需求</w:t>
      </w:r>
      <w:r w:rsidR="001D12E8">
        <w:rPr>
          <w:rFonts w:ascii="仿宋_GB2312" w:hint="eastAsia"/>
          <w:sz w:val="32"/>
        </w:rPr>
        <w:t>。</w:t>
      </w:r>
    </w:p>
    <w:p w:rsidR="005D2871" w:rsidRPr="00EF6C76" w:rsidRDefault="00C21B1E" w:rsidP="00EF6C76">
      <w:pPr>
        <w:pStyle w:val="a6"/>
        <w:spacing w:before="100" w:beforeAutospacing="1" w:after="100" w:afterAutospacing="1"/>
        <w:ind w:firstLineChars="188" w:firstLine="620"/>
        <w:rPr>
          <w:rFonts w:ascii="仿宋_GB2312" w:eastAsia="仿宋_GB2312" w:hAnsi="Calibri"/>
          <w:kern w:val="2"/>
          <w:sz w:val="32"/>
          <w:szCs w:val="22"/>
        </w:rPr>
      </w:pPr>
      <w:r w:rsidRPr="00EF6C76">
        <w:rPr>
          <w:rFonts w:ascii="仿宋_GB2312" w:eastAsia="仿宋_GB2312" w:hAnsi="Calibri" w:hint="eastAsia"/>
          <w:kern w:val="2"/>
          <w:sz w:val="32"/>
          <w:szCs w:val="22"/>
        </w:rPr>
        <w:lastRenderedPageBreak/>
        <w:t>1.网络结构</w:t>
      </w:r>
    </w:p>
    <w:p w:rsidR="005D2871" w:rsidRPr="00EF6C76" w:rsidRDefault="00A20DBB" w:rsidP="00EF6C76">
      <w:pPr>
        <w:spacing w:before="100" w:beforeAutospacing="1" w:after="100" w:afterAutospacing="1"/>
        <w:ind w:firstLineChars="188" w:firstLine="620"/>
        <w:rPr>
          <w:rFonts w:ascii="仿宋_GB2312"/>
          <w:sz w:val="32"/>
        </w:rPr>
      </w:pPr>
      <w:r w:rsidRPr="00EF6C76">
        <w:rPr>
          <w:rFonts w:ascii="仿宋_GB2312" w:hint="eastAsia"/>
          <w:sz w:val="32"/>
        </w:rPr>
        <w:t>教育城域网传输网包括骨干网和接入网。市</w:t>
      </w:r>
      <w:r w:rsidR="00C21B1E" w:rsidRPr="00EF6C76">
        <w:rPr>
          <w:rFonts w:ascii="仿宋_GB2312" w:hint="eastAsia"/>
          <w:sz w:val="32"/>
        </w:rPr>
        <w:t>教育城域网骨干网由市级网络中心、</w:t>
      </w:r>
      <w:r w:rsidR="00E92EBF" w:rsidRPr="00EF6C76">
        <w:rPr>
          <w:rFonts w:ascii="仿宋_GB2312" w:hint="eastAsia"/>
          <w:sz w:val="32"/>
        </w:rPr>
        <w:t>旗</w:t>
      </w:r>
      <w:r w:rsidR="00C21B1E" w:rsidRPr="00EF6C76">
        <w:rPr>
          <w:rFonts w:ascii="仿宋_GB2312" w:hint="eastAsia"/>
          <w:sz w:val="32"/>
        </w:rPr>
        <w:t>县级网络中心</w:t>
      </w:r>
      <w:r w:rsidR="00E92EBF" w:rsidRPr="00EF6C76">
        <w:rPr>
          <w:rFonts w:ascii="仿宋_GB2312" w:hint="eastAsia"/>
          <w:sz w:val="32"/>
        </w:rPr>
        <w:t>、学校网络中心</w:t>
      </w:r>
      <w:r w:rsidR="00C21B1E" w:rsidRPr="00EF6C76">
        <w:rPr>
          <w:rFonts w:ascii="仿宋_GB2312" w:hint="eastAsia"/>
          <w:sz w:val="32"/>
        </w:rPr>
        <w:t>及其相连链路组成；接入网由学校和其他</w:t>
      </w:r>
      <w:r w:rsidR="000F33B2">
        <w:rPr>
          <w:rFonts w:ascii="仿宋_GB2312" w:hint="eastAsia"/>
          <w:sz w:val="32"/>
        </w:rPr>
        <w:t>教育机构的局域网及其与上级教育城域网相连的上联链路组成。骨干网</w:t>
      </w:r>
      <w:r w:rsidR="00D32235">
        <w:rPr>
          <w:rFonts w:ascii="仿宋_GB2312" w:hint="eastAsia"/>
          <w:sz w:val="32"/>
        </w:rPr>
        <w:t>、</w:t>
      </w:r>
      <w:r w:rsidR="00D32235" w:rsidRPr="00D32235">
        <w:rPr>
          <w:rFonts w:ascii="仿宋_GB2312" w:hint="eastAsia"/>
          <w:sz w:val="32"/>
        </w:rPr>
        <w:t>接入网</w:t>
      </w:r>
      <w:r w:rsidR="00C21B1E" w:rsidRPr="00EF6C76">
        <w:rPr>
          <w:rFonts w:ascii="仿宋_GB2312" w:hint="eastAsia"/>
          <w:sz w:val="32"/>
        </w:rPr>
        <w:t>采用树状结构；如图5所示。骨干网和接入网的带宽具体要求见附表2-1。</w:t>
      </w:r>
    </w:p>
    <w:p w:rsidR="005D2871" w:rsidRPr="00EF6C76" w:rsidRDefault="000F33B2" w:rsidP="00AC2E96">
      <w:pPr>
        <w:spacing w:before="100" w:beforeAutospacing="1" w:after="100" w:afterAutospacing="1"/>
        <w:jc w:val="center"/>
        <w:rPr>
          <w:rFonts w:ascii="仿宋_GB2312"/>
          <w:sz w:val="32"/>
        </w:rPr>
      </w:pPr>
      <w:r w:rsidRPr="00EF6C76">
        <w:rPr>
          <w:rFonts w:ascii="仿宋_GB2312"/>
          <w:noProof/>
          <w:sz w:val="32"/>
        </w:rPr>
        <w:drawing>
          <wp:anchor distT="0" distB="0" distL="114300" distR="114300" simplePos="0" relativeHeight="251658752" behindDoc="0" locked="0" layoutInCell="1" allowOverlap="1" wp14:anchorId="7D3E7AF6" wp14:editId="61003184">
            <wp:simplePos x="0" y="0"/>
            <wp:positionH relativeFrom="column">
              <wp:posOffset>933450</wp:posOffset>
            </wp:positionH>
            <wp:positionV relativeFrom="paragraph">
              <wp:posOffset>482600</wp:posOffset>
            </wp:positionV>
            <wp:extent cx="2701925" cy="1974850"/>
            <wp:effectExtent l="0" t="0" r="3175" b="6350"/>
            <wp:wrapSquare wrapText="bothSides"/>
            <wp:docPr id="6" name="图片 6" descr="拓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拓扑图"/>
                    <pic:cNvPicPr>
                      <a:picLocks noChangeAspect="1" noChangeArrowheads="1"/>
                    </pic:cNvPicPr>
                  </pic:nvPicPr>
                  <pic:blipFill rotWithShape="1">
                    <a:blip r:embed="rId11">
                      <a:extLst>
                        <a:ext uri="{28A0092B-C50C-407E-A947-70E740481C1C}">
                          <a14:useLocalDpi xmlns:a14="http://schemas.microsoft.com/office/drawing/2010/main" val="0"/>
                        </a:ext>
                      </a:extLst>
                    </a:blip>
                    <a:srcRect l="48721"/>
                    <a:stretch/>
                  </pic:blipFill>
                  <pic:spPr bwMode="auto">
                    <a:xfrm>
                      <a:off x="0" y="0"/>
                      <a:ext cx="2701925" cy="1974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1B1E" w:rsidRPr="00EF6C76">
        <w:rPr>
          <w:rFonts w:ascii="仿宋_GB2312" w:hint="eastAsia"/>
          <w:sz w:val="32"/>
        </w:rPr>
        <w:t xml:space="preserve">        </w:t>
      </w:r>
    </w:p>
    <w:p w:rsidR="008754A8" w:rsidRPr="00EF6C76" w:rsidRDefault="008754A8" w:rsidP="00AC2E96">
      <w:pPr>
        <w:spacing w:before="100" w:beforeAutospacing="1" w:after="100" w:afterAutospacing="1"/>
        <w:jc w:val="center"/>
        <w:rPr>
          <w:rFonts w:ascii="仿宋_GB2312"/>
          <w:sz w:val="32"/>
        </w:rPr>
      </w:pPr>
    </w:p>
    <w:p w:rsidR="008754A8" w:rsidRPr="00EF6C76" w:rsidRDefault="008754A8" w:rsidP="00AC2E96">
      <w:pPr>
        <w:spacing w:before="100" w:beforeAutospacing="1" w:after="100" w:afterAutospacing="1"/>
        <w:jc w:val="center"/>
        <w:rPr>
          <w:rFonts w:ascii="仿宋_GB2312"/>
          <w:sz w:val="32"/>
        </w:rPr>
      </w:pPr>
    </w:p>
    <w:p w:rsidR="008754A8" w:rsidRPr="00EF6C76" w:rsidRDefault="008754A8" w:rsidP="00AC2E96">
      <w:pPr>
        <w:spacing w:before="100" w:beforeAutospacing="1" w:after="100" w:afterAutospacing="1"/>
        <w:jc w:val="center"/>
        <w:rPr>
          <w:rFonts w:ascii="仿宋_GB2312"/>
          <w:sz w:val="32"/>
        </w:rPr>
      </w:pPr>
    </w:p>
    <w:p w:rsidR="008754A8" w:rsidRPr="00EF6C76" w:rsidRDefault="008754A8" w:rsidP="00AC2E96">
      <w:pPr>
        <w:spacing w:before="100" w:beforeAutospacing="1" w:after="100" w:afterAutospacing="1"/>
        <w:jc w:val="center"/>
        <w:rPr>
          <w:rFonts w:ascii="仿宋_GB2312"/>
          <w:sz w:val="32"/>
        </w:rPr>
      </w:pPr>
    </w:p>
    <w:p w:rsidR="005D2871" w:rsidRPr="00EF6C76" w:rsidRDefault="00C21B1E" w:rsidP="00EF6C76">
      <w:pPr>
        <w:pStyle w:val="a6"/>
        <w:spacing w:before="100" w:beforeAutospacing="1" w:after="100" w:afterAutospacing="1"/>
        <w:ind w:firstLine="660"/>
        <w:jc w:val="center"/>
        <w:rPr>
          <w:rFonts w:ascii="仿宋_GB2312" w:eastAsia="仿宋_GB2312" w:hAnsi="Calibri"/>
          <w:kern w:val="2"/>
          <w:sz w:val="32"/>
          <w:szCs w:val="22"/>
        </w:rPr>
      </w:pPr>
      <w:r w:rsidRPr="00EF6C76">
        <w:rPr>
          <w:rFonts w:ascii="仿宋_GB2312" w:eastAsia="仿宋_GB2312" w:hAnsi="Calibri" w:hint="eastAsia"/>
          <w:kern w:val="2"/>
          <w:sz w:val="32"/>
          <w:szCs w:val="22"/>
        </w:rPr>
        <w:t xml:space="preserve">图5 教育城域网拓扑结构示意图                             </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2.网络出口</w:t>
      </w:r>
    </w:p>
    <w:p w:rsidR="00D32235" w:rsidRDefault="00D32235" w:rsidP="00D32235">
      <w:pPr>
        <w:pStyle w:val="a6"/>
        <w:spacing w:before="100" w:beforeAutospacing="1" w:after="100" w:afterAutospacing="1"/>
        <w:ind w:firstLine="662"/>
        <w:rPr>
          <w:rFonts w:ascii="仿宋_GB2312" w:eastAsia="仿宋_GB2312" w:hAnsi="Calibri"/>
          <w:kern w:val="2"/>
          <w:sz w:val="32"/>
          <w:szCs w:val="22"/>
        </w:rPr>
      </w:pPr>
      <w:r w:rsidRPr="00D32235">
        <w:rPr>
          <w:rFonts w:ascii="仿宋_GB2312" w:eastAsia="仿宋_GB2312" w:hAnsi="Calibri" w:hint="eastAsia"/>
          <w:b/>
          <w:kern w:val="2"/>
          <w:sz w:val="32"/>
          <w:szCs w:val="22"/>
        </w:rPr>
        <w:t>第十条</w:t>
      </w:r>
      <w:r>
        <w:rPr>
          <w:rFonts w:ascii="仿宋_GB2312" w:eastAsia="仿宋_GB2312" w:hAnsi="Calibri" w:hint="eastAsia"/>
          <w:kern w:val="2"/>
          <w:sz w:val="32"/>
          <w:szCs w:val="22"/>
        </w:rPr>
        <w:t xml:space="preserve"> </w:t>
      </w:r>
      <w:r w:rsidR="006F2176" w:rsidRPr="00EF6C76">
        <w:rPr>
          <w:rFonts w:ascii="仿宋_GB2312" w:eastAsia="仿宋_GB2312" w:hAnsi="Calibri" w:hint="eastAsia"/>
          <w:kern w:val="2"/>
          <w:sz w:val="32"/>
          <w:szCs w:val="22"/>
        </w:rPr>
        <w:t>市级网络中心和各旗县区网络中心分别</w:t>
      </w:r>
      <w:r w:rsidR="00572B35" w:rsidRPr="00EF6C76">
        <w:rPr>
          <w:rFonts w:ascii="仿宋_GB2312" w:eastAsia="仿宋_GB2312" w:hAnsi="Calibri" w:hint="eastAsia"/>
          <w:kern w:val="2"/>
          <w:sz w:val="32"/>
          <w:szCs w:val="22"/>
        </w:rPr>
        <w:t>设置</w:t>
      </w:r>
      <w:r w:rsidR="006F2176" w:rsidRPr="00EF6C76">
        <w:rPr>
          <w:rFonts w:ascii="仿宋_GB2312" w:eastAsia="仿宋_GB2312" w:hAnsi="Calibri" w:hint="eastAsia"/>
          <w:kern w:val="2"/>
          <w:sz w:val="32"/>
          <w:szCs w:val="22"/>
        </w:rPr>
        <w:t>出口，网络运营商出口由各旗县区根据实际情况选择，为本地区各学校提供统一出口</w:t>
      </w:r>
      <w:r>
        <w:rPr>
          <w:rFonts w:ascii="仿宋_GB2312" w:eastAsia="仿宋_GB2312" w:hAnsi="Calibri" w:hint="eastAsia"/>
          <w:kern w:val="2"/>
          <w:sz w:val="32"/>
          <w:szCs w:val="22"/>
        </w:rPr>
        <w:t>，</w:t>
      </w:r>
      <w:r w:rsidRPr="00D32235">
        <w:rPr>
          <w:rFonts w:ascii="仿宋_GB2312" w:eastAsia="仿宋_GB2312" w:hAnsi="Calibri" w:hint="eastAsia"/>
          <w:kern w:val="2"/>
          <w:sz w:val="32"/>
          <w:szCs w:val="22"/>
        </w:rPr>
        <w:t>学校不允许私设出口</w:t>
      </w:r>
      <w:r w:rsidR="006F2176" w:rsidRPr="00EF6C76">
        <w:rPr>
          <w:rFonts w:ascii="仿宋_GB2312" w:eastAsia="仿宋_GB2312" w:hAnsi="Calibri" w:hint="eastAsia"/>
          <w:kern w:val="2"/>
          <w:sz w:val="32"/>
          <w:szCs w:val="22"/>
        </w:rPr>
        <w:t>。</w:t>
      </w:r>
    </w:p>
    <w:p w:rsidR="006F2176" w:rsidRPr="00EF6C76" w:rsidRDefault="006F2176" w:rsidP="00D32235">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具体要求见附表2-2。</w:t>
      </w:r>
    </w:p>
    <w:p w:rsidR="006F2176" w:rsidRPr="00EF6C76" w:rsidRDefault="006F2176"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lastRenderedPageBreak/>
        <w:t>市教育局中心机房保留1000M互联网出口，负责接入市教育局和市直学校互联网业务；七个旗县区仍保留原有互联网出口,要求临河区教育局中心机房出口设计5000M以上互联网出口带宽，杭后、五原、前旗分别设计2000M以上互联网出口带宽，中旗、后旗、磴口分别设计1000M以上互联网出口带宽力争使全市各学校互联网应用达到更高水平。</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3.IP地址</w:t>
      </w:r>
    </w:p>
    <w:p w:rsidR="005D2871" w:rsidRPr="00EF6C76" w:rsidRDefault="00D32235" w:rsidP="00D32235">
      <w:pPr>
        <w:spacing w:before="100" w:beforeAutospacing="1" w:after="100" w:afterAutospacing="1"/>
        <w:ind w:firstLineChars="200" w:firstLine="662"/>
        <w:rPr>
          <w:rFonts w:ascii="仿宋_GB2312"/>
          <w:sz w:val="32"/>
        </w:rPr>
      </w:pPr>
      <w:r w:rsidRPr="00D32235">
        <w:rPr>
          <w:rFonts w:ascii="仿宋_GB2312" w:hint="eastAsia"/>
          <w:b/>
          <w:sz w:val="32"/>
        </w:rPr>
        <w:t>第十一条</w:t>
      </w:r>
      <w:r>
        <w:rPr>
          <w:rFonts w:ascii="仿宋_GB2312" w:hint="eastAsia"/>
          <w:sz w:val="32"/>
        </w:rPr>
        <w:t xml:space="preserve"> </w:t>
      </w:r>
      <w:r w:rsidR="00C21B1E" w:rsidRPr="00EF6C76">
        <w:rPr>
          <w:rFonts w:ascii="仿宋_GB2312" w:hint="eastAsia"/>
          <w:sz w:val="32"/>
        </w:rPr>
        <w:t>教育城域网IP地址由</w:t>
      </w:r>
      <w:r w:rsidR="006F2176" w:rsidRPr="00EF6C76">
        <w:rPr>
          <w:rFonts w:ascii="仿宋_GB2312" w:hint="eastAsia"/>
          <w:sz w:val="32"/>
        </w:rPr>
        <w:t>市教育信息中心</w:t>
      </w:r>
      <w:r w:rsidR="00C21B1E" w:rsidRPr="00EF6C76">
        <w:rPr>
          <w:rFonts w:ascii="仿宋_GB2312" w:hint="eastAsia"/>
          <w:sz w:val="32"/>
        </w:rPr>
        <w:t>统一规划分配</w:t>
      </w:r>
      <w:r w:rsidR="00276BF9" w:rsidRPr="00EF6C76">
        <w:rPr>
          <w:rFonts w:ascii="仿宋_GB2312" w:hint="eastAsia"/>
          <w:sz w:val="32"/>
        </w:rPr>
        <w:t>，各旗县区业务网段按VLAN划分，IP地址规划到所有学校</w:t>
      </w:r>
      <w:r>
        <w:rPr>
          <w:rFonts w:ascii="仿宋_GB2312" w:hint="eastAsia"/>
          <w:sz w:val="32"/>
        </w:rPr>
        <w:t>，各上网单位必训遵循统一IP规划。</w:t>
      </w:r>
    </w:p>
    <w:p w:rsidR="005D2871" w:rsidRPr="00EF6C76" w:rsidRDefault="00C21B1E" w:rsidP="007E1DBC">
      <w:pPr>
        <w:pStyle w:val="ab"/>
      </w:pPr>
      <w:bookmarkStart w:id="63" w:name="_Toc372616326"/>
      <w:bookmarkStart w:id="64" w:name="_Toc372624934"/>
      <w:bookmarkStart w:id="65" w:name="_Toc372616327"/>
      <w:bookmarkStart w:id="66" w:name="_Toc372624935"/>
      <w:bookmarkStart w:id="67" w:name="_Toc372616328"/>
      <w:bookmarkStart w:id="68" w:name="_Toc372624936"/>
      <w:bookmarkStart w:id="69" w:name="_Toc372616329"/>
      <w:bookmarkStart w:id="70" w:name="_Toc372624937"/>
      <w:bookmarkStart w:id="71" w:name="_Toc372616330"/>
      <w:bookmarkStart w:id="72" w:name="_Toc372624938"/>
      <w:bookmarkStart w:id="73" w:name="_Toc372616331"/>
      <w:bookmarkStart w:id="74" w:name="_Toc372624939"/>
      <w:bookmarkStart w:id="75" w:name="_Toc372616332"/>
      <w:bookmarkStart w:id="76" w:name="_Toc372624940"/>
      <w:bookmarkStart w:id="77" w:name="_Toc372616333"/>
      <w:bookmarkStart w:id="78" w:name="_Toc372624941"/>
      <w:bookmarkStart w:id="79" w:name="_Toc372616334"/>
      <w:bookmarkStart w:id="80" w:name="_Toc372624942"/>
      <w:bookmarkStart w:id="81" w:name="_Toc372616335"/>
      <w:bookmarkStart w:id="82" w:name="_Toc372624943"/>
      <w:bookmarkStart w:id="83" w:name="_Toc372616336"/>
      <w:bookmarkStart w:id="84" w:name="_Toc372624944"/>
      <w:bookmarkStart w:id="85" w:name="_Toc372616337"/>
      <w:bookmarkStart w:id="86" w:name="_Toc372624945"/>
      <w:bookmarkStart w:id="87" w:name="_Toc372616338"/>
      <w:bookmarkStart w:id="88" w:name="_Toc372624946"/>
      <w:bookmarkStart w:id="89" w:name="_Toc372616339"/>
      <w:bookmarkStart w:id="90" w:name="_Toc372624947"/>
      <w:bookmarkStart w:id="91" w:name="_Toc372616340"/>
      <w:bookmarkStart w:id="92" w:name="_Toc372624948"/>
      <w:bookmarkStart w:id="93" w:name="_Toc372616341"/>
      <w:bookmarkStart w:id="94" w:name="_Toc372624949"/>
      <w:bookmarkStart w:id="95" w:name="_Toc372616342"/>
      <w:bookmarkStart w:id="96" w:name="_Toc372624950"/>
      <w:bookmarkStart w:id="97" w:name="_Toc372616343"/>
      <w:bookmarkStart w:id="98" w:name="_Toc372624951"/>
      <w:bookmarkStart w:id="99" w:name="_Toc372616344"/>
      <w:bookmarkStart w:id="100" w:name="_Toc372624952"/>
      <w:bookmarkStart w:id="101" w:name="_Toc37262495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F6C76">
        <w:rPr>
          <w:rFonts w:hint="eastAsia"/>
        </w:rPr>
        <w:t>（三）应用系统</w:t>
      </w:r>
      <w:bookmarkEnd w:id="101"/>
    </w:p>
    <w:p w:rsidR="00D32235"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教育城域网应提供面向教育管理、教学教研、师生成长、社会服务等各类应用系统。</w:t>
      </w:r>
    </w:p>
    <w:p w:rsidR="00B60338" w:rsidRDefault="00D32235" w:rsidP="00D32235">
      <w:pPr>
        <w:spacing w:before="100" w:beforeAutospacing="1" w:after="100" w:afterAutospacing="1"/>
        <w:ind w:firstLineChars="200" w:firstLine="662"/>
        <w:rPr>
          <w:rFonts w:ascii="仿宋_GB2312"/>
          <w:sz w:val="32"/>
        </w:rPr>
      </w:pPr>
      <w:r w:rsidRPr="00D32235">
        <w:rPr>
          <w:rFonts w:ascii="仿宋_GB2312" w:hint="eastAsia"/>
          <w:b/>
          <w:sz w:val="32"/>
        </w:rPr>
        <w:t>第十二条</w:t>
      </w:r>
      <w:r>
        <w:rPr>
          <w:rFonts w:ascii="仿宋_GB2312" w:hint="eastAsia"/>
          <w:sz w:val="32"/>
        </w:rPr>
        <w:t xml:space="preserve"> </w:t>
      </w:r>
      <w:r w:rsidR="00C21B1E" w:rsidRPr="00EF6C76">
        <w:rPr>
          <w:rFonts w:ascii="仿宋_GB2312" w:hint="eastAsia"/>
          <w:sz w:val="32"/>
        </w:rPr>
        <w:t>应用系统的建设应遵循“先上后下”原则，即对于国家、</w:t>
      </w:r>
      <w:r w:rsidR="006F2176" w:rsidRPr="00EF6C76">
        <w:rPr>
          <w:rFonts w:ascii="仿宋_GB2312" w:hint="eastAsia"/>
          <w:sz w:val="32"/>
        </w:rPr>
        <w:t>自治区</w:t>
      </w:r>
      <w:r w:rsidR="005C3A3D" w:rsidRPr="00EF6C76">
        <w:rPr>
          <w:rFonts w:ascii="仿宋_GB2312" w:hint="eastAsia"/>
          <w:sz w:val="32"/>
        </w:rPr>
        <w:t>、市</w:t>
      </w:r>
      <w:r w:rsidR="00C21B1E" w:rsidRPr="00EF6C76">
        <w:rPr>
          <w:rFonts w:ascii="仿宋_GB2312" w:hint="eastAsia"/>
          <w:sz w:val="32"/>
        </w:rPr>
        <w:t>教育管理公共服务平台和教育资源公共服务平台等上级已建的应用系统，应优先使用，不再重复建设；对于本地特色应用项目，应遵循应用引导、共享共建原则实施。</w:t>
      </w:r>
    </w:p>
    <w:p w:rsidR="005D2871" w:rsidRPr="00EF6C76" w:rsidRDefault="00C21B1E" w:rsidP="00B60338">
      <w:pPr>
        <w:spacing w:before="100" w:beforeAutospacing="1" w:after="100" w:afterAutospacing="1"/>
        <w:ind w:firstLineChars="200" w:firstLine="660"/>
        <w:rPr>
          <w:rFonts w:ascii="仿宋_GB2312"/>
          <w:sz w:val="32"/>
        </w:rPr>
      </w:pPr>
      <w:r w:rsidRPr="00EF6C76">
        <w:rPr>
          <w:rFonts w:ascii="仿宋_GB2312" w:hint="eastAsia"/>
          <w:sz w:val="32"/>
        </w:rPr>
        <w:t>应用系统的具体建设内容详见附表3。</w:t>
      </w:r>
    </w:p>
    <w:p w:rsidR="005D2871" w:rsidRPr="00EF6C76" w:rsidRDefault="00E24885" w:rsidP="007E1DBC">
      <w:pPr>
        <w:pStyle w:val="1"/>
      </w:pPr>
      <w:bookmarkStart w:id="102" w:name="_Toc372100977"/>
      <w:bookmarkStart w:id="103" w:name="_Toc372100978"/>
      <w:bookmarkStart w:id="104" w:name="_Toc371634505"/>
      <w:bookmarkStart w:id="105" w:name="_Toc371634904"/>
      <w:bookmarkStart w:id="106" w:name="_Toc371634996"/>
      <w:bookmarkStart w:id="107" w:name="_Toc371635085"/>
      <w:bookmarkStart w:id="108" w:name="_Toc371785716"/>
      <w:bookmarkStart w:id="109" w:name="_Toc371885573"/>
      <w:bookmarkStart w:id="110" w:name="_Toc371885610"/>
      <w:bookmarkStart w:id="111" w:name="_Toc371885636"/>
      <w:bookmarkStart w:id="112" w:name="_Toc371885674"/>
      <w:bookmarkStart w:id="113" w:name="_Toc371885702"/>
      <w:bookmarkStart w:id="114" w:name="_Toc371886154"/>
      <w:bookmarkStart w:id="115" w:name="_Toc372624954"/>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rPr>
        <w:lastRenderedPageBreak/>
        <w:t>第五章</w:t>
      </w:r>
      <w:r w:rsidRPr="00EF6C76">
        <w:rPr>
          <w:rFonts w:hint="eastAsia"/>
        </w:rPr>
        <w:t>、建设模式</w:t>
      </w:r>
      <w:bookmarkEnd w:id="115"/>
    </w:p>
    <w:p w:rsidR="005D2871" w:rsidRPr="00EF6C76" w:rsidRDefault="00B60338" w:rsidP="00B60338">
      <w:pPr>
        <w:pStyle w:val="a6"/>
        <w:spacing w:before="100" w:beforeAutospacing="1" w:after="100" w:afterAutospacing="1"/>
        <w:ind w:firstLine="662"/>
        <w:rPr>
          <w:rFonts w:ascii="仿宋_GB2312" w:eastAsia="仿宋_GB2312" w:hAnsi="Calibri"/>
          <w:kern w:val="2"/>
          <w:sz w:val="32"/>
          <w:szCs w:val="22"/>
        </w:rPr>
      </w:pPr>
      <w:r w:rsidRPr="00B60338">
        <w:rPr>
          <w:rFonts w:ascii="仿宋_GB2312" w:eastAsia="仿宋_GB2312" w:hAnsi="Calibri" w:hint="eastAsia"/>
          <w:b/>
          <w:kern w:val="2"/>
          <w:sz w:val="32"/>
          <w:szCs w:val="22"/>
        </w:rPr>
        <w:t>第十三条</w:t>
      </w:r>
      <w:r>
        <w:rPr>
          <w:rFonts w:ascii="仿宋_GB2312" w:eastAsia="仿宋_GB2312" w:hAnsi="Calibri" w:hint="eastAsia"/>
          <w:b/>
          <w:kern w:val="2"/>
          <w:sz w:val="32"/>
          <w:szCs w:val="22"/>
        </w:rPr>
        <w:t xml:space="preserve"> </w:t>
      </w:r>
      <w:r w:rsidRPr="00EF6C76">
        <w:rPr>
          <w:rFonts w:ascii="仿宋_GB2312" w:eastAsia="仿宋_GB2312" w:hAnsi="Calibri" w:hint="eastAsia"/>
          <w:kern w:val="2"/>
          <w:sz w:val="32"/>
          <w:szCs w:val="22"/>
        </w:rPr>
        <w:t>教育城域网网络中心的建设模式主要有自建模式、托管模式</w:t>
      </w:r>
      <w:r>
        <w:rPr>
          <w:rFonts w:ascii="仿宋_GB2312" w:eastAsia="仿宋_GB2312" w:hAnsi="Calibri" w:hint="eastAsia"/>
          <w:kern w:val="2"/>
          <w:sz w:val="32"/>
          <w:szCs w:val="22"/>
        </w:rPr>
        <w:t>，骨干</w:t>
      </w:r>
      <w:r w:rsidRPr="00B60338">
        <w:rPr>
          <w:rFonts w:ascii="仿宋_GB2312" w:eastAsia="仿宋_GB2312" w:hAnsi="Calibri" w:hint="eastAsia"/>
          <w:kern w:val="2"/>
          <w:sz w:val="32"/>
          <w:szCs w:val="22"/>
        </w:rPr>
        <w:t>传输网络的建设模式</w:t>
      </w:r>
      <w:r>
        <w:rPr>
          <w:rFonts w:ascii="仿宋_GB2312" w:eastAsia="仿宋_GB2312" w:hAnsi="Calibri" w:hint="eastAsia"/>
          <w:kern w:val="2"/>
          <w:sz w:val="32"/>
          <w:szCs w:val="22"/>
        </w:rPr>
        <w:t>有</w:t>
      </w:r>
      <w:r w:rsidRPr="00B60338">
        <w:rPr>
          <w:rFonts w:ascii="仿宋_GB2312" w:eastAsia="仿宋_GB2312" w:hAnsi="Calibri" w:hint="eastAsia"/>
          <w:kern w:val="2"/>
          <w:sz w:val="32"/>
          <w:szCs w:val="22"/>
        </w:rPr>
        <w:t>租用运营商裸光纤、租用运营商通信信道两种</w:t>
      </w:r>
      <w:r w:rsidR="00C21B1E" w:rsidRPr="00EF6C76">
        <w:rPr>
          <w:rFonts w:ascii="仿宋_GB2312" w:eastAsia="仿宋_GB2312" w:hAnsi="Calibri" w:hint="eastAsia"/>
          <w:kern w:val="2"/>
          <w:sz w:val="32"/>
          <w:szCs w:val="22"/>
        </w:rPr>
        <w:t>，各地可在满足应用要求的情况下，灵活确定网络建设模式。</w:t>
      </w:r>
    </w:p>
    <w:p w:rsidR="005D2871" w:rsidRPr="00EF6C76" w:rsidRDefault="00C21B1E" w:rsidP="007E1DBC">
      <w:pPr>
        <w:pStyle w:val="ab"/>
      </w:pPr>
      <w:bookmarkStart w:id="116" w:name="_Toc372100980"/>
      <w:bookmarkStart w:id="117" w:name="_Toc372624955"/>
      <w:bookmarkEnd w:id="116"/>
      <w:r w:rsidRPr="00EF6C76">
        <w:rPr>
          <w:rFonts w:hint="eastAsia"/>
        </w:rPr>
        <w:t>（一）网络中心建设模式</w:t>
      </w:r>
      <w:bookmarkEnd w:id="117"/>
    </w:p>
    <w:p w:rsidR="005D2871" w:rsidRPr="00EF6C76" w:rsidRDefault="00C21B1E" w:rsidP="00EF6C76">
      <w:pPr>
        <w:pStyle w:val="a6"/>
        <w:widowControl w:val="0"/>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教育城域网网络中心的建设模式主要有</w:t>
      </w:r>
      <w:r w:rsidR="00E2697E" w:rsidRPr="00EF6C76">
        <w:rPr>
          <w:rFonts w:ascii="仿宋_GB2312" w:eastAsia="仿宋_GB2312" w:hAnsi="Calibri" w:hint="eastAsia"/>
          <w:kern w:val="2"/>
          <w:sz w:val="32"/>
          <w:szCs w:val="22"/>
        </w:rPr>
        <w:t>两</w:t>
      </w:r>
      <w:r w:rsidRPr="00EF6C76">
        <w:rPr>
          <w:rFonts w:ascii="仿宋_GB2312" w:eastAsia="仿宋_GB2312" w:hAnsi="Calibri" w:hint="eastAsia"/>
          <w:kern w:val="2"/>
          <w:sz w:val="32"/>
          <w:szCs w:val="22"/>
        </w:rPr>
        <w:t>种：自建模式、托管模式。</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网络中心自建模式是指网络中心机房及全部设施、设备均由教育部门购置自建。</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网络中心托管模式是指教育部门不建网络中心机房，而通过将自己的应用服务器、存储设备以机柜托管、主机托管的形式放置在第三方网络中心场地。</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各</w:t>
      </w:r>
      <w:r w:rsidR="00E2697E" w:rsidRPr="00EF6C76">
        <w:rPr>
          <w:rFonts w:ascii="仿宋_GB2312" w:eastAsia="仿宋_GB2312" w:hAnsi="Calibri" w:hint="eastAsia"/>
          <w:kern w:val="2"/>
          <w:sz w:val="32"/>
          <w:szCs w:val="22"/>
        </w:rPr>
        <w:t>旗县区</w:t>
      </w:r>
      <w:r w:rsidRPr="00EF6C76">
        <w:rPr>
          <w:rFonts w:ascii="仿宋_GB2312" w:eastAsia="仿宋_GB2312" w:hAnsi="Calibri" w:hint="eastAsia"/>
          <w:kern w:val="2"/>
          <w:sz w:val="32"/>
          <w:szCs w:val="22"/>
        </w:rPr>
        <w:t>可根据自身情况选择适当的建设模式。</w:t>
      </w:r>
    </w:p>
    <w:p w:rsidR="005D2871" w:rsidRPr="00EF6C76" w:rsidRDefault="00C21B1E" w:rsidP="007E1DBC">
      <w:pPr>
        <w:pStyle w:val="ab"/>
      </w:pPr>
      <w:bookmarkStart w:id="118" w:name="_Toc372100982"/>
      <w:bookmarkStart w:id="119" w:name="_Toc372100983"/>
      <w:bookmarkStart w:id="120" w:name="_Toc372100984"/>
      <w:bookmarkStart w:id="121" w:name="_Toc372624956"/>
      <w:bookmarkEnd w:id="118"/>
      <w:bookmarkEnd w:id="119"/>
      <w:bookmarkEnd w:id="120"/>
      <w:r w:rsidRPr="00EF6C76">
        <w:rPr>
          <w:rFonts w:hint="eastAsia"/>
        </w:rPr>
        <w:t>（二）传输网络建设模式</w:t>
      </w:r>
      <w:bookmarkEnd w:id="121"/>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教育城域网传输网络的建设模式包括：租用运营商裸光纤、租用运营商通信信道</w:t>
      </w:r>
      <w:r w:rsidR="00E2697E" w:rsidRPr="00EF6C76">
        <w:rPr>
          <w:rFonts w:ascii="仿宋_GB2312" w:hint="eastAsia"/>
          <w:sz w:val="32"/>
        </w:rPr>
        <w:t>两</w:t>
      </w:r>
      <w:r w:rsidRPr="00EF6C76">
        <w:rPr>
          <w:rFonts w:ascii="仿宋_GB2312" w:hint="eastAsia"/>
          <w:sz w:val="32"/>
        </w:rPr>
        <w:t>种，各地可根据当地情况自行选择，建</w:t>
      </w:r>
      <w:r w:rsidRPr="00EF6C76">
        <w:rPr>
          <w:rFonts w:ascii="仿宋_GB2312" w:hint="eastAsia"/>
          <w:sz w:val="32"/>
        </w:rPr>
        <w:lastRenderedPageBreak/>
        <w:t>议优先选择</w:t>
      </w:r>
      <w:r w:rsidR="005C3A3D" w:rsidRPr="00EF6C76">
        <w:rPr>
          <w:rFonts w:ascii="仿宋_GB2312" w:hint="eastAsia"/>
          <w:sz w:val="32"/>
        </w:rPr>
        <w:t>裸光纤</w:t>
      </w:r>
      <w:r w:rsidRPr="00EF6C76">
        <w:rPr>
          <w:rFonts w:ascii="仿宋_GB2312" w:hint="eastAsia"/>
          <w:sz w:val="32"/>
        </w:rPr>
        <w:t>模式。</w:t>
      </w:r>
      <w:bookmarkStart w:id="122" w:name="_Toc372495004"/>
      <w:bookmarkStart w:id="123" w:name="_Toc372616350"/>
      <w:bookmarkStart w:id="124" w:name="_Toc372624958"/>
      <w:bookmarkStart w:id="125" w:name="_Toc372624959"/>
      <w:bookmarkEnd w:id="122"/>
      <w:bookmarkEnd w:id="123"/>
      <w:bookmarkEnd w:id="124"/>
    </w:p>
    <w:p w:rsidR="005D2871" w:rsidRPr="00EF6C76" w:rsidRDefault="00E24885" w:rsidP="007E1DBC">
      <w:pPr>
        <w:pStyle w:val="1"/>
      </w:pPr>
      <w:r>
        <w:rPr>
          <w:rFonts w:hint="eastAsia"/>
        </w:rPr>
        <w:t>第</w:t>
      </w:r>
      <w:r w:rsidR="00A73228">
        <w:rPr>
          <w:rFonts w:hint="eastAsia"/>
        </w:rPr>
        <w:t>六</w:t>
      </w:r>
      <w:r>
        <w:rPr>
          <w:rFonts w:hint="eastAsia"/>
        </w:rPr>
        <w:t>章</w:t>
      </w:r>
      <w:r w:rsidR="00C21B1E" w:rsidRPr="00EF6C76">
        <w:rPr>
          <w:rFonts w:hint="eastAsia"/>
        </w:rPr>
        <w:t>、建设程序</w:t>
      </w:r>
      <w:bookmarkStart w:id="126" w:name="_Toc371885579"/>
      <w:bookmarkStart w:id="127" w:name="_Toc371885616"/>
      <w:bookmarkStart w:id="128" w:name="_Toc371885642"/>
      <w:bookmarkStart w:id="129" w:name="_Toc371885680"/>
      <w:bookmarkStart w:id="130" w:name="_Toc371885708"/>
      <w:bookmarkStart w:id="131" w:name="_Toc371886160"/>
      <w:bookmarkEnd w:id="125"/>
      <w:bookmarkEnd w:id="126"/>
      <w:bookmarkEnd w:id="127"/>
      <w:bookmarkEnd w:id="128"/>
      <w:bookmarkEnd w:id="129"/>
      <w:bookmarkEnd w:id="130"/>
      <w:bookmarkEnd w:id="131"/>
    </w:p>
    <w:p w:rsidR="005D2871" w:rsidRPr="00EF6C76" w:rsidRDefault="00A73228" w:rsidP="00A73228">
      <w:pPr>
        <w:pStyle w:val="a6"/>
        <w:spacing w:before="100" w:beforeAutospacing="1" w:after="100" w:afterAutospacing="1"/>
        <w:ind w:firstLine="662"/>
        <w:rPr>
          <w:rFonts w:ascii="仿宋_GB2312" w:eastAsia="仿宋_GB2312" w:hAnsi="Calibri"/>
          <w:kern w:val="2"/>
          <w:sz w:val="32"/>
          <w:szCs w:val="22"/>
        </w:rPr>
      </w:pPr>
      <w:r w:rsidRPr="00A73228">
        <w:rPr>
          <w:rFonts w:ascii="仿宋_GB2312" w:eastAsia="仿宋_GB2312" w:hAnsi="Calibri" w:hint="eastAsia"/>
          <w:b/>
          <w:kern w:val="2"/>
          <w:sz w:val="32"/>
          <w:szCs w:val="22"/>
        </w:rPr>
        <w:t>第十四条</w:t>
      </w:r>
      <w:r>
        <w:rPr>
          <w:rFonts w:ascii="仿宋_GB2312" w:eastAsia="仿宋_GB2312" w:hAnsi="Calibri" w:hint="eastAsia"/>
          <w:kern w:val="2"/>
          <w:sz w:val="32"/>
          <w:szCs w:val="22"/>
        </w:rPr>
        <w:t xml:space="preserve"> </w:t>
      </w:r>
      <w:r w:rsidR="00C21B1E" w:rsidRPr="00EF6C76">
        <w:rPr>
          <w:rFonts w:ascii="仿宋_GB2312" w:eastAsia="仿宋_GB2312" w:hAnsi="Calibri" w:hint="eastAsia"/>
          <w:kern w:val="2"/>
          <w:sz w:val="32"/>
          <w:szCs w:val="22"/>
        </w:rPr>
        <w:t>教育城域网建设是一个系统工程，需要建立规范的流程，控制项目风险，提高项目实施质量，保障教育城域网可持续运行。</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教育城域网建设流程，包括规划、实施、培训、验收等阶段。</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规划阶段：在进行需求分析、可行性调研的基础上，按照“整体规划、适度超前，应用驱动、模式合理，满足本地，上下互通”的原则进行项目规划设计。规划要经过专家论证，并报上级教育主管部门备案。</w:t>
      </w:r>
    </w:p>
    <w:p w:rsidR="005D2871" w:rsidRPr="00EF6C76" w:rsidRDefault="00C21B1E" w:rsidP="00EF6C76">
      <w:pPr>
        <w:pStyle w:val="a6"/>
        <w:spacing w:before="100" w:beforeAutospacing="1" w:after="100" w:afterAutospacing="1"/>
        <w:ind w:firstLine="660"/>
        <w:rPr>
          <w:rFonts w:ascii="仿宋_GB2312" w:eastAsia="仿宋_GB2312" w:hAnsi="Calibri"/>
          <w:kern w:val="2"/>
          <w:sz w:val="32"/>
          <w:szCs w:val="22"/>
        </w:rPr>
      </w:pPr>
      <w:r w:rsidRPr="00EF6C76">
        <w:rPr>
          <w:rFonts w:ascii="仿宋_GB2312" w:eastAsia="仿宋_GB2312" w:hAnsi="Calibri" w:hint="eastAsia"/>
          <w:kern w:val="2"/>
          <w:sz w:val="32"/>
          <w:szCs w:val="22"/>
        </w:rPr>
        <w:t>实施阶段：按照信息系统建设工程要求，制定实施方案,明确项目实施计划,进行项目结构分解, 完成整体建设过程。形成各类有效文档，包括项目实施日志、各种软件、设备、系统的测试报告、进度质量报告及培训文档、验收文档等。</w:t>
      </w:r>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培训阶段：项目实施后，要对项目使用者进行整体的培训，包含技术培训和应用培训。</w:t>
      </w:r>
    </w:p>
    <w:p w:rsidR="005D2871" w:rsidRPr="00EF6C76"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验收阶段：由建设方、专家及相关教育主管部门人员组成</w:t>
      </w:r>
      <w:r w:rsidRPr="00EF6C76">
        <w:rPr>
          <w:rFonts w:ascii="仿宋_GB2312" w:hint="eastAsia"/>
          <w:sz w:val="32"/>
        </w:rPr>
        <w:lastRenderedPageBreak/>
        <w:t>验收组，根据规划和实施方案，对项目进行全面验收。</w:t>
      </w:r>
    </w:p>
    <w:p w:rsidR="005D2871" w:rsidRPr="00EF6C76" w:rsidRDefault="00E24885" w:rsidP="007E1DBC">
      <w:pPr>
        <w:pStyle w:val="1"/>
      </w:pPr>
      <w:r>
        <w:rPr>
          <w:rFonts w:hint="eastAsia"/>
        </w:rPr>
        <w:t>第</w:t>
      </w:r>
      <w:r w:rsidR="00A73228">
        <w:rPr>
          <w:rFonts w:hint="eastAsia"/>
        </w:rPr>
        <w:t>七</w:t>
      </w:r>
      <w:r>
        <w:rPr>
          <w:rFonts w:hint="eastAsia"/>
        </w:rPr>
        <w:t>章</w:t>
      </w:r>
      <w:r w:rsidR="00C21B1E" w:rsidRPr="00EF6C76">
        <w:rPr>
          <w:rFonts w:hint="eastAsia"/>
        </w:rPr>
        <w:t>、保障机制</w:t>
      </w:r>
    </w:p>
    <w:p w:rsidR="00A73228" w:rsidRDefault="00A73228" w:rsidP="00A73228">
      <w:pPr>
        <w:spacing w:before="100" w:beforeAutospacing="1" w:after="100" w:afterAutospacing="1"/>
        <w:ind w:firstLineChars="200" w:firstLine="662"/>
        <w:rPr>
          <w:rFonts w:ascii="仿宋_GB2312"/>
          <w:sz w:val="32"/>
        </w:rPr>
      </w:pPr>
      <w:r w:rsidRPr="00A73228">
        <w:rPr>
          <w:rFonts w:ascii="仿宋_GB2312" w:hint="eastAsia"/>
          <w:b/>
          <w:sz w:val="32"/>
        </w:rPr>
        <w:t>第十五条</w:t>
      </w:r>
      <w:r>
        <w:rPr>
          <w:rFonts w:ascii="仿宋_GB2312" w:hint="eastAsia"/>
          <w:sz w:val="32"/>
        </w:rPr>
        <w:t xml:space="preserve"> </w:t>
      </w:r>
      <w:r w:rsidR="00C21B1E" w:rsidRPr="00EF6C76">
        <w:rPr>
          <w:rFonts w:ascii="仿宋_GB2312" w:hint="eastAsia"/>
          <w:sz w:val="32"/>
        </w:rPr>
        <w:t>教育城域网建设在</w:t>
      </w:r>
      <w:r w:rsidR="006F2176" w:rsidRPr="00EF6C76">
        <w:rPr>
          <w:rFonts w:ascii="仿宋_GB2312" w:hint="eastAsia"/>
          <w:sz w:val="32"/>
        </w:rPr>
        <w:t>巴彦淖尔市</w:t>
      </w:r>
      <w:r w:rsidR="00C21B1E" w:rsidRPr="00EF6C76">
        <w:rPr>
          <w:rFonts w:ascii="仿宋_GB2312" w:hint="eastAsia"/>
          <w:sz w:val="32"/>
        </w:rPr>
        <w:t>教育信息化工作领导小组指导下，以市县教育行政部门为主体组织实施。</w:t>
      </w:r>
    </w:p>
    <w:p w:rsidR="005D2871" w:rsidRDefault="00C21B1E" w:rsidP="00EF6C76">
      <w:pPr>
        <w:spacing w:before="100" w:beforeAutospacing="1" w:after="100" w:afterAutospacing="1"/>
        <w:ind w:firstLineChars="200" w:firstLine="660"/>
        <w:rPr>
          <w:rFonts w:ascii="仿宋_GB2312"/>
          <w:sz w:val="32"/>
        </w:rPr>
      </w:pPr>
      <w:r w:rsidRPr="00EF6C76">
        <w:rPr>
          <w:rFonts w:ascii="仿宋_GB2312" w:hint="eastAsia"/>
          <w:sz w:val="32"/>
        </w:rPr>
        <w:t>各地要加强对教育城域网建设的组织领导和跟踪指导,明确承建单位和运维保障部门, 健全网络安全管理措施,设立必要的建设和运维工作经费,确保城域网建设尽快取得实效，确保网络安全稳定运行。</w:t>
      </w:r>
    </w:p>
    <w:p w:rsidR="00A73228" w:rsidRPr="00FF245A" w:rsidRDefault="00A73228" w:rsidP="00A73228">
      <w:pPr>
        <w:adjustRightInd w:val="0"/>
        <w:snapToGrid w:val="0"/>
        <w:spacing w:line="500" w:lineRule="exact"/>
        <w:ind w:firstLineChars="200" w:firstLine="662"/>
        <w:jc w:val="left"/>
        <w:rPr>
          <w:rFonts w:ascii="仿宋_GB2312" w:hAnsi="宋体"/>
          <w:sz w:val="32"/>
        </w:rPr>
      </w:pPr>
      <w:r w:rsidRPr="00C20A1E">
        <w:rPr>
          <w:rFonts w:ascii="仿宋_GB2312" w:hint="eastAsia"/>
          <w:b/>
          <w:sz w:val="32"/>
        </w:rPr>
        <w:t>第</w:t>
      </w:r>
      <w:r>
        <w:rPr>
          <w:rFonts w:ascii="仿宋_GB2312" w:hint="eastAsia"/>
          <w:b/>
          <w:sz w:val="32"/>
        </w:rPr>
        <w:t>十六</w:t>
      </w:r>
      <w:r w:rsidRPr="00C20A1E">
        <w:rPr>
          <w:rFonts w:ascii="仿宋_GB2312" w:hint="eastAsia"/>
          <w:b/>
          <w:sz w:val="32"/>
        </w:rPr>
        <w:t>条</w:t>
      </w:r>
      <w:r>
        <w:rPr>
          <w:rFonts w:ascii="仿宋_GB2312" w:hint="eastAsia"/>
          <w:b/>
          <w:sz w:val="32"/>
        </w:rPr>
        <w:t xml:space="preserve">  </w:t>
      </w:r>
      <w:r w:rsidRPr="00A73228">
        <w:rPr>
          <w:rFonts w:ascii="仿宋_GB2312" w:hint="eastAsia"/>
          <w:sz w:val="32"/>
        </w:rPr>
        <w:t>教育城域网建设</w:t>
      </w:r>
      <w:r>
        <w:rPr>
          <w:rFonts w:ascii="仿宋_GB2312" w:hint="eastAsia"/>
          <w:sz w:val="32"/>
        </w:rPr>
        <w:t>情况与年度考核督导评估挂钩。</w:t>
      </w:r>
    </w:p>
    <w:p w:rsidR="00A73228" w:rsidRPr="00EF6C76" w:rsidRDefault="00A73228" w:rsidP="00A73228">
      <w:pPr>
        <w:spacing w:before="100" w:beforeAutospacing="1" w:after="100" w:afterAutospacing="1"/>
        <w:ind w:firstLineChars="200" w:firstLine="662"/>
        <w:rPr>
          <w:rFonts w:ascii="仿宋_GB2312"/>
          <w:sz w:val="32"/>
        </w:rPr>
      </w:pPr>
      <w:r w:rsidRPr="00C20A1E">
        <w:rPr>
          <w:rFonts w:ascii="仿宋_GB2312" w:hint="eastAsia"/>
          <w:b/>
          <w:sz w:val="32"/>
        </w:rPr>
        <w:t>第</w:t>
      </w:r>
      <w:r>
        <w:rPr>
          <w:rFonts w:ascii="仿宋_GB2312" w:hint="eastAsia"/>
          <w:b/>
          <w:sz w:val="32"/>
        </w:rPr>
        <w:t>十七</w:t>
      </w:r>
      <w:r w:rsidRPr="00C20A1E">
        <w:rPr>
          <w:rFonts w:ascii="仿宋_GB2312" w:hint="eastAsia"/>
          <w:b/>
          <w:sz w:val="32"/>
        </w:rPr>
        <w:t>条</w:t>
      </w:r>
      <w:r>
        <w:rPr>
          <w:rFonts w:ascii="仿宋_GB2312"/>
          <w:sz w:val="32"/>
        </w:rPr>
        <w:t xml:space="preserve">  </w:t>
      </w:r>
      <w:r>
        <w:rPr>
          <w:rFonts w:ascii="仿宋_GB2312" w:hint="eastAsia"/>
          <w:sz w:val="32"/>
        </w:rPr>
        <w:t>本《</w:t>
      </w:r>
      <w:r w:rsidRPr="00A73228">
        <w:rPr>
          <w:rFonts w:ascii="仿宋_GB2312" w:hint="eastAsia"/>
          <w:sz w:val="32"/>
        </w:rPr>
        <w:t>巴彦淖尔市教育城域网建设规范</w:t>
      </w:r>
      <w:r>
        <w:rPr>
          <w:rFonts w:ascii="仿宋_GB2312" w:hint="eastAsia"/>
          <w:sz w:val="32"/>
        </w:rPr>
        <w:t>》由巴彦淖尔市教育</w:t>
      </w:r>
      <w:r w:rsidR="00330183">
        <w:rPr>
          <w:rFonts w:ascii="仿宋_GB2312" w:hint="eastAsia"/>
          <w:sz w:val="32"/>
        </w:rPr>
        <w:t>信息中心</w:t>
      </w:r>
      <w:r>
        <w:rPr>
          <w:rFonts w:ascii="仿宋_GB2312" w:hint="eastAsia"/>
          <w:sz w:val="32"/>
        </w:rPr>
        <w:t>负责解释。</w:t>
      </w:r>
    </w:p>
    <w:p w:rsidR="009F5C63" w:rsidRPr="00EF6C76" w:rsidRDefault="009F5C63" w:rsidP="000D7143">
      <w:pPr>
        <w:jc w:val="right"/>
        <w:rPr>
          <w:rFonts w:ascii="仿宋_GB2312"/>
          <w:sz w:val="32"/>
        </w:rPr>
      </w:pPr>
      <w:r w:rsidRPr="00EF6C76">
        <w:rPr>
          <w:rFonts w:ascii="仿宋_GB2312"/>
          <w:sz w:val="32"/>
        </w:rPr>
        <w:t>巴彦淖尔市教育局</w:t>
      </w:r>
    </w:p>
    <w:p w:rsidR="009F5C63" w:rsidRPr="00EF6C76" w:rsidRDefault="009F5C63" w:rsidP="009F5C63">
      <w:pPr>
        <w:jc w:val="right"/>
        <w:rPr>
          <w:rFonts w:ascii="仿宋_GB2312"/>
          <w:sz w:val="32"/>
        </w:rPr>
      </w:pPr>
      <w:r w:rsidRPr="00EF6C76">
        <w:rPr>
          <w:rFonts w:ascii="仿宋_GB2312" w:hint="eastAsia"/>
          <w:sz w:val="32"/>
        </w:rPr>
        <w:t>二0</w:t>
      </w:r>
      <w:r w:rsidR="00585E29" w:rsidRPr="00EF6C76">
        <w:rPr>
          <w:rFonts w:ascii="仿宋_GB2312" w:hint="eastAsia"/>
          <w:sz w:val="32"/>
        </w:rPr>
        <w:t>一</w:t>
      </w:r>
      <w:r w:rsidRPr="00EF6C76">
        <w:rPr>
          <w:rFonts w:ascii="仿宋_GB2312" w:hint="eastAsia"/>
          <w:sz w:val="32"/>
        </w:rPr>
        <w:t>八年六月</w:t>
      </w:r>
      <w:r w:rsidR="00585E29" w:rsidRPr="00EF6C76">
        <w:rPr>
          <w:rFonts w:ascii="仿宋_GB2312" w:hint="eastAsia"/>
          <w:sz w:val="32"/>
        </w:rPr>
        <w:t>二十二</w:t>
      </w:r>
      <w:r w:rsidRPr="00EF6C76">
        <w:rPr>
          <w:rFonts w:ascii="仿宋_GB2312" w:hint="eastAsia"/>
          <w:sz w:val="32"/>
        </w:rPr>
        <w:t>日</w:t>
      </w:r>
    </w:p>
    <w:p w:rsidR="005D2871" w:rsidRPr="008754A8" w:rsidRDefault="009F5C63" w:rsidP="002319B3">
      <w:pPr>
        <w:pStyle w:val="a"/>
        <w:numPr>
          <w:ilvl w:val="0"/>
          <w:numId w:val="0"/>
        </w:numPr>
        <w:spacing w:beforeLines="0" w:before="100" w:beforeAutospacing="1" w:afterLines="0" w:after="100" w:afterAutospacing="1"/>
        <w:rPr>
          <w:rFonts w:ascii="仿宋_GB2312" w:eastAsia="仿宋_GB2312"/>
          <w:sz w:val="30"/>
          <w:szCs w:val="30"/>
        </w:rPr>
      </w:pPr>
      <w:r w:rsidRPr="00EF6C76">
        <w:rPr>
          <w:rFonts w:ascii="仿宋_GB2312" w:eastAsia="仿宋_GB2312" w:hAnsi="Calibri" w:hint="eastAsia"/>
          <w:kern w:val="2"/>
          <w:sz w:val="32"/>
          <w:szCs w:val="22"/>
        </w:rPr>
        <w:t>附录：教育城域网建设参考指标</w:t>
      </w:r>
      <w:r w:rsidR="00C21B1E">
        <w:rPr>
          <w:rFonts w:ascii="仿宋_GB2312" w:hint="eastAsia"/>
          <w:szCs w:val="30"/>
        </w:rPr>
        <w:br w:type="page"/>
      </w:r>
      <w:bookmarkStart w:id="132" w:name="_Toc372624960"/>
      <w:r w:rsidR="00C21B1E">
        <w:rPr>
          <w:rFonts w:hAnsi="黑体" w:hint="eastAsia"/>
          <w:sz w:val="30"/>
          <w:szCs w:val="30"/>
        </w:rPr>
        <w:lastRenderedPageBreak/>
        <w:t>附录：</w:t>
      </w:r>
      <w:r w:rsidR="00AC2E96">
        <w:rPr>
          <w:rFonts w:hAnsi="黑体" w:hint="eastAsia"/>
          <w:sz w:val="30"/>
          <w:szCs w:val="30"/>
        </w:rPr>
        <w:t>巴彦淖尔市</w:t>
      </w:r>
      <w:r w:rsidR="00C21B1E">
        <w:rPr>
          <w:rFonts w:hAnsi="黑体" w:hint="eastAsia"/>
          <w:sz w:val="30"/>
          <w:szCs w:val="30"/>
        </w:rPr>
        <w:t>教育城域网建设参考指标</w:t>
      </w:r>
      <w:bookmarkEnd w:id="132"/>
    </w:p>
    <w:p w:rsidR="005D2871" w:rsidRDefault="00C21B1E" w:rsidP="00AC2E96">
      <w:pPr>
        <w:spacing w:before="100" w:beforeAutospacing="1" w:after="100" w:afterAutospacing="1"/>
        <w:rPr>
          <w:rFonts w:ascii="楷体_GB2312" w:eastAsia="楷体_GB2312"/>
          <w:szCs w:val="30"/>
        </w:rPr>
      </w:pPr>
      <w:r>
        <w:rPr>
          <w:rFonts w:ascii="楷体_GB2312" w:eastAsia="楷体_GB2312" w:hint="eastAsia"/>
          <w:szCs w:val="30"/>
        </w:rPr>
        <w:t>（一）网络中心</w:t>
      </w:r>
    </w:p>
    <w:p w:rsidR="005D2871" w:rsidRDefault="00C21B1E" w:rsidP="00AC2E96">
      <w:pPr>
        <w:pStyle w:val="a6"/>
        <w:spacing w:before="100" w:beforeAutospacing="1" w:after="100" w:afterAutospacing="1"/>
        <w:ind w:firstLineChars="0" w:firstLine="405"/>
        <w:jc w:val="center"/>
        <w:rPr>
          <w:b/>
        </w:rPr>
      </w:pPr>
      <w:bookmarkStart w:id="133" w:name="_Toc371634572"/>
      <w:bookmarkStart w:id="134" w:name="_Toc371634971"/>
      <w:bookmarkStart w:id="135" w:name="_Toc371635063"/>
      <w:bookmarkStart w:id="136" w:name="_Toc371635152"/>
      <w:bookmarkStart w:id="137" w:name="_Toc371634573"/>
      <w:bookmarkStart w:id="138" w:name="_Toc371634972"/>
      <w:bookmarkStart w:id="139" w:name="_Toc371635064"/>
      <w:bookmarkStart w:id="140" w:name="_Toc371635153"/>
      <w:bookmarkStart w:id="141" w:name="_Toc371634574"/>
      <w:bookmarkStart w:id="142" w:name="_Toc371634973"/>
      <w:bookmarkStart w:id="143" w:name="_Toc371635065"/>
      <w:bookmarkStart w:id="144" w:name="_Toc371635154"/>
      <w:bookmarkStart w:id="145" w:name="_Toc371634575"/>
      <w:bookmarkStart w:id="146" w:name="_Toc371634974"/>
      <w:bookmarkStart w:id="147" w:name="_Toc371635066"/>
      <w:bookmarkStart w:id="148" w:name="_Toc371635155"/>
      <w:bookmarkStart w:id="149" w:name="_Toc371634576"/>
      <w:bookmarkStart w:id="150" w:name="_Toc371634975"/>
      <w:bookmarkStart w:id="151" w:name="_Toc371635067"/>
      <w:bookmarkStart w:id="152" w:name="_Toc371635156"/>
      <w:bookmarkStart w:id="153" w:name="_Toc371634577"/>
      <w:bookmarkStart w:id="154" w:name="_Toc371634976"/>
      <w:bookmarkStart w:id="155" w:name="_Toc371635068"/>
      <w:bookmarkStart w:id="156" w:name="_Toc37163515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Pr>
          <w:rFonts w:hint="eastAsia"/>
          <w:b/>
        </w:rPr>
        <w:t>表</w:t>
      </w:r>
      <w:r>
        <w:rPr>
          <w:b/>
        </w:rPr>
        <w:t xml:space="preserve">1-1  </w:t>
      </w:r>
      <w:r>
        <w:rPr>
          <w:rFonts w:hint="eastAsia"/>
          <w:b/>
        </w:rPr>
        <w:t>教育城域网网络中心机房环境建设要</w:t>
      </w:r>
      <w:r w:rsidRPr="008754A8">
        <w:rPr>
          <w:rFonts w:hint="eastAsia"/>
          <w:b/>
        </w:rPr>
        <w:t>求（自建模式）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3"/>
        <w:gridCol w:w="5107"/>
        <w:gridCol w:w="2280"/>
      </w:tblGrid>
      <w:tr w:rsidR="005D2871">
        <w:trPr>
          <w:trHeight w:val="690"/>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b/>
                <w:sz w:val="18"/>
                <w:szCs w:val="18"/>
              </w:rPr>
            </w:pPr>
            <w:r>
              <w:rPr>
                <w:rFonts w:ascii="仿宋_GB2312" w:hint="eastAsia"/>
                <w:b/>
                <w:sz w:val="18"/>
                <w:szCs w:val="18"/>
              </w:rPr>
              <w:t>建设项目</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b/>
                <w:sz w:val="18"/>
                <w:szCs w:val="18"/>
              </w:rPr>
            </w:pPr>
            <w:r>
              <w:rPr>
                <w:rFonts w:ascii="仿宋_GB2312" w:hint="eastAsia"/>
                <w:b/>
                <w:sz w:val="18"/>
                <w:szCs w:val="18"/>
              </w:rPr>
              <w:t>市级网络中心</w:t>
            </w:r>
          </w:p>
        </w:tc>
        <w:tc>
          <w:tcPr>
            <w:tcW w:w="2280"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b/>
                <w:sz w:val="18"/>
                <w:szCs w:val="18"/>
              </w:rPr>
            </w:pPr>
            <w:r>
              <w:rPr>
                <w:rFonts w:ascii="仿宋_GB2312" w:hint="eastAsia"/>
                <w:b/>
                <w:sz w:val="18"/>
                <w:szCs w:val="18"/>
              </w:rPr>
              <w:t>县级网络中心</w:t>
            </w:r>
          </w:p>
        </w:tc>
      </w:tr>
      <w:tr w:rsidR="005D2871">
        <w:trPr>
          <w:trHeight w:val="427"/>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a6"/>
              <w:widowControl w:val="0"/>
              <w:snapToGrid w:val="0"/>
              <w:spacing w:before="100" w:beforeAutospacing="1" w:after="100" w:afterAutospacing="1"/>
              <w:ind w:firstLineChars="0" w:firstLine="0"/>
              <w:jc w:val="center"/>
              <w:rPr>
                <w:rFonts w:ascii="仿宋_GB2312" w:eastAsia="仿宋_GB2312"/>
                <w:sz w:val="18"/>
                <w:szCs w:val="18"/>
              </w:rPr>
            </w:pPr>
            <w:r>
              <w:rPr>
                <w:rFonts w:ascii="仿宋_GB2312" w:eastAsia="仿宋_GB2312" w:hAnsi="Calibri" w:hint="eastAsia"/>
                <w:kern w:val="2"/>
                <w:sz w:val="18"/>
                <w:szCs w:val="18"/>
              </w:rPr>
              <w:t>机房面积</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left"/>
              <w:rPr>
                <w:rFonts w:ascii="仿宋_GB2312"/>
                <w:sz w:val="18"/>
                <w:szCs w:val="18"/>
              </w:rPr>
            </w:pPr>
            <w:r>
              <w:rPr>
                <w:rFonts w:ascii="仿宋_GB2312" w:hint="eastAsia"/>
                <w:sz w:val="18"/>
                <w:szCs w:val="18"/>
              </w:rPr>
              <w:t>面积满足设备安装和运维管理需要，并留有冗余，主机房面积≥60M</w:t>
            </w:r>
            <w:r>
              <w:rPr>
                <w:rFonts w:ascii="仿宋_GB2312" w:hint="eastAsia"/>
                <w:sz w:val="18"/>
                <w:szCs w:val="18"/>
                <w:vertAlign w:val="superscript"/>
              </w:rPr>
              <w:t>2</w:t>
            </w:r>
            <w:r>
              <w:rPr>
                <w:rFonts w:ascii="仿宋_GB2312" w:hint="eastAsia"/>
                <w:sz w:val="18"/>
                <w:szCs w:val="18"/>
              </w:rPr>
              <w:t>，运行监控室面积≥20M</w:t>
            </w:r>
            <w:r>
              <w:rPr>
                <w:rFonts w:ascii="仿宋_GB2312" w:hint="eastAsia"/>
                <w:sz w:val="18"/>
                <w:szCs w:val="18"/>
                <w:vertAlign w:val="superscript"/>
              </w:rPr>
              <w:t>2</w:t>
            </w:r>
            <w:r>
              <w:rPr>
                <w:rFonts w:ascii="仿宋_GB2312" w:hint="eastAsia"/>
                <w:sz w:val="18"/>
                <w:szCs w:val="18"/>
              </w:rPr>
              <w:t>，准备间≥20M</w:t>
            </w:r>
            <w:r>
              <w:rPr>
                <w:rFonts w:ascii="仿宋_GB2312" w:hint="eastAsia"/>
                <w:sz w:val="18"/>
                <w:szCs w:val="18"/>
                <w:vertAlign w:val="superscript"/>
              </w:rPr>
              <w:t>2</w:t>
            </w:r>
            <w:r>
              <w:rPr>
                <w:rFonts w:ascii="仿宋_GB2312" w:hint="eastAsia"/>
                <w:sz w:val="18"/>
                <w:szCs w:val="18"/>
              </w:rPr>
              <w:t>，行政管理区≥40M</w:t>
            </w:r>
            <w:r>
              <w:rPr>
                <w:rFonts w:ascii="仿宋_GB2312" w:hint="eastAsia"/>
                <w:sz w:val="18"/>
                <w:szCs w:val="18"/>
                <w:vertAlign w:val="superscript"/>
              </w:rPr>
              <w:t>2</w:t>
            </w:r>
            <w:r>
              <w:rPr>
                <w:rFonts w:ascii="仿宋_GB2312" w:hint="eastAsia"/>
                <w:sz w:val="18"/>
                <w:szCs w:val="18"/>
              </w:rPr>
              <w:t>。</w:t>
            </w:r>
          </w:p>
        </w:tc>
        <w:tc>
          <w:tcPr>
            <w:tcW w:w="2280" w:type="dxa"/>
            <w:tcBorders>
              <w:top w:val="single" w:sz="4" w:space="0" w:color="auto"/>
              <w:left w:val="single" w:sz="4" w:space="0" w:color="auto"/>
              <w:bottom w:val="single" w:sz="4" w:space="0" w:color="auto"/>
              <w:right w:val="single" w:sz="4" w:space="0" w:color="auto"/>
            </w:tcBorders>
          </w:tcPr>
          <w:p w:rsidR="005D2871" w:rsidRDefault="00C21B1E" w:rsidP="00AC2E96">
            <w:pPr>
              <w:snapToGrid w:val="0"/>
              <w:spacing w:before="100" w:beforeAutospacing="1" w:after="100" w:afterAutospacing="1"/>
              <w:jc w:val="left"/>
              <w:rPr>
                <w:rFonts w:ascii="仿宋_GB2312"/>
                <w:sz w:val="18"/>
                <w:szCs w:val="18"/>
              </w:rPr>
            </w:pPr>
            <w:r>
              <w:rPr>
                <w:rFonts w:ascii="仿宋_GB2312" w:hint="eastAsia"/>
                <w:sz w:val="18"/>
                <w:szCs w:val="18"/>
              </w:rPr>
              <w:t>主机房面积≥45M</w:t>
            </w:r>
            <w:r>
              <w:rPr>
                <w:rFonts w:ascii="仿宋_GB2312" w:hint="eastAsia"/>
                <w:sz w:val="18"/>
                <w:szCs w:val="18"/>
                <w:vertAlign w:val="superscript"/>
              </w:rPr>
              <w:t>2</w:t>
            </w:r>
            <w:r>
              <w:rPr>
                <w:rFonts w:ascii="仿宋_GB2312" w:hint="eastAsia"/>
                <w:sz w:val="18"/>
                <w:szCs w:val="18"/>
              </w:rPr>
              <w:t>，其他各室按需要设置。</w:t>
            </w:r>
          </w:p>
        </w:tc>
      </w:tr>
      <w:tr w:rsidR="005D2871">
        <w:trPr>
          <w:trHeight w:val="427"/>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机房装修</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机房装修材料应以安全为主，装饰为辅。装修材料应为不燃或难燃，且不易产生灰尘；</w:t>
            </w:r>
          </w:p>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顶部应进行防尘、防水处理，采用防火石膏板或微孔铝板吊顶，宜用格栅灯组；</w:t>
            </w:r>
          </w:p>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墙面应使用不起尘的可水洗墙面漆；</w:t>
            </w:r>
          </w:p>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机房下走线布局应采用抗静电地板，上走线布局时地面需进行无尘处理；</w:t>
            </w:r>
          </w:p>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隔断采用不锈钢包框12mm厚防火玻璃；</w:t>
            </w:r>
          </w:p>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门窗、墙壁、顶棚、地（楼）面的构造和施工缝隙，均应采取可靠的密闭节能措施；</w:t>
            </w:r>
          </w:p>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机房门应采用防火密闭门，宜留有足够防火玻璃的观察口；</w:t>
            </w:r>
          </w:p>
          <w:p w:rsidR="005D2871" w:rsidRDefault="00C21B1E" w:rsidP="00AC2E96">
            <w:pPr>
              <w:pStyle w:val="10"/>
              <w:numPr>
                <w:ilvl w:val="0"/>
                <w:numId w:val="2"/>
              </w:numPr>
              <w:snapToGrid w:val="0"/>
              <w:spacing w:before="100" w:beforeAutospacing="1" w:after="100" w:afterAutospacing="1"/>
              <w:ind w:firstLineChars="0"/>
              <w:jc w:val="left"/>
              <w:rPr>
                <w:rFonts w:ascii="仿宋_GB2312" w:eastAsia="仿宋_GB2312"/>
                <w:sz w:val="18"/>
                <w:szCs w:val="18"/>
              </w:rPr>
            </w:pPr>
            <w:r>
              <w:rPr>
                <w:rFonts w:ascii="仿宋_GB2312" w:eastAsia="仿宋_GB2312" w:hint="eastAsia"/>
                <w:sz w:val="18"/>
                <w:szCs w:val="18"/>
              </w:rPr>
              <w:t>主机房不宜设置外窗，当主机房设有外窗时，应采用双层固定窗。</w:t>
            </w:r>
          </w:p>
        </w:tc>
        <w:tc>
          <w:tcPr>
            <w:tcW w:w="2280"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27"/>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a6"/>
              <w:snapToGrid w:val="0"/>
              <w:spacing w:before="100" w:beforeAutospacing="1" w:after="100" w:afterAutospacing="1"/>
              <w:ind w:firstLineChars="0" w:firstLine="0"/>
              <w:jc w:val="center"/>
              <w:rPr>
                <w:rFonts w:ascii="仿宋_GB2312" w:eastAsia="仿宋_GB2312" w:hAnsi="Calibri"/>
                <w:kern w:val="2"/>
                <w:sz w:val="18"/>
                <w:szCs w:val="18"/>
              </w:rPr>
            </w:pPr>
            <w:r>
              <w:rPr>
                <w:rFonts w:ascii="仿宋_GB2312" w:eastAsia="仿宋_GB2312" w:hAnsi="Calibri" w:hint="eastAsia"/>
                <w:kern w:val="2"/>
                <w:sz w:val="18"/>
                <w:szCs w:val="18"/>
              </w:rPr>
              <w:t>电气</w:t>
            </w:r>
          </w:p>
          <w:p w:rsidR="005D2871" w:rsidRDefault="00C21B1E" w:rsidP="00AC2E96">
            <w:pPr>
              <w:pStyle w:val="a6"/>
              <w:snapToGrid w:val="0"/>
              <w:spacing w:before="100" w:beforeAutospacing="1" w:after="100" w:afterAutospacing="1"/>
              <w:ind w:firstLineChars="0" w:firstLine="0"/>
              <w:jc w:val="center"/>
              <w:rPr>
                <w:rFonts w:ascii="仿宋_GB2312" w:eastAsia="仿宋_GB2312" w:hAnsi="Calibri"/>
                <w:kern w:val="2"/>
                <w:sz w:val="18"/>
                <w:szCs w:val="18"/>
              </w:rPr>
            </w:pPr>
            <w:r>
              <w:rPr>
                <w:rFonts w:ascii="仿宋_GB2312" w:eastAsia="仿宋_GB2312" w:hAnsi="Calibri" w:hint="eastAsia"/>
                <w:kern w:val="2"/>
                <w:sz w:val="18"/>
                <w:szCs w:val="18"/>
              </w:rPr>
              <w:t>子系统</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1.供电总容量应为设备系统总容量的1.4～2.0倍。UPS供电不低于8小时（配有发电机的不小于2小时）；</w:t>
            </w:r>
          </w:p>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2.防雷按照 IEC 标准进行安全的二级配合保护，配电柜安装浪涌保护器。机房内所有金属设备、管线、地板均应做接地保护，接地电阻小于1Ω。</w:t>
            </w:r>
          </w:p>
        </w:tc>
        <w:tc>
          <w:tcPr>
            <w:tcW w:w="2280"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10"/>
              <w:snapToGrid w:val="0"/>
              <w:spacing w:before="100" w:beforeAutospacing="1" w:after="100" w:afterAutospacing="1"/>
              <w:ind w:firstLineChars="0" w:firstLine="0"/>
              <w:jc w:val="center"/>
              <w:rPr>
                <w:rFonts w:ascii="仿宋_GB2312" w:eastAsia="仿宋_GB2312"/>
                <w:sz w:val="18"/>
                <w:szCs w:val="18"/>
              </w:rPr>
            </w:pPr>
            <w:r>
              <w:rPr>
                <w:rFonts w:ascii="仿宋_GB2312" w:eastAsia="仿宋_GB2312" w:hint="eastAsia"/>
                <w:sz w:val="18"/>
                <w:szCs w:val="18"/>
              </w:rPr>
              <w:t>要求相同</w:t>
            </w:r>
          </w:p>
        </w:tc>
      </w:tr>
      <w:tr w:rsidR="005D2871">
        <w:trPr>
          <w:trHeight w:val="427"/>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空调</w:t>
            </w:r>
          </w:p>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子系统</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a6"/>
              <w:snapToGrid w:val="0"/>
              <w:spacing w:before="100" w:beforeAutospacing="1" w:after="100" w:afterAutospacing="1"/>
              <w:ind w:firstLineChars="0" w:firstLine="0"/>
              <w:rPr>
                <w:rFonts w:ascii="仿宋_GB2312" w:eastAsia="仿宋_GB2312" w:hAnsi="Calibri"/>
                <w:kern w:val="2"/>
                <w:sz w:val="18"/>
                <w:szCs w:val="18"/>
              </w:rPr>
            </w:pPr>
            <w:r>
              <w:rPr>
                <w:rFonts w:ascii="仿宋_GB2312" w:eastAsia="仿宋_GB2312" w:hAnsi="Calibri" w:hint="eastAsia"/>
                <w:kern w:val="2"/>
                <w:sz w:val="18"/>
                <w:szCs w:val="18"/>
              </w:rPr>
              <w:t>主机房应设置精密空调或商用空调，安装新风系统。</w:t>
            </w:r>
          </w:p>
          <w:p w:rsidR="005D2871" w:rsidRDefault="00C21B1E" w:rsidP="00AC2E96">
            <w:pPr>
              <w:pStyle w:val="a6"/>
              <w:snapToGrid w:val="0"/>
              <w:spacing w:before="100" w:beforeAutospacing="1" w:after="100" w:afterAutospacing="1"/>
              <w:ind w:firstLineChars="0" w:firstLine="0"/>
              <w:rPr>
                <w:rFonts w:ascii="仿宋_GB2312" w:eastAsia="仿宋_GB2312" w:hAnsi="Calibri"/>
                <w:kern w:val="2"/>
                <w:sz w:val="18"/>
                <w:szCs w:val="18"/>
              </w:rPr>
            </w:pPr>
            <w:r>
              <w:rPr>
                <w:rFonts w:ascii="仿宋_GB2312" w:eastAsia="仿宋_GB2312" w:hAnsi="Calibri" w:hint="eastAsia"/>
                <w:kern w:val="2"/>
                <w:sz w:val="18"/>
                <w:szCs w:val="18"/>
              </w:rPr>
              <w:t>室</w:t>
            </w:r>
            <w:r>
              <w:rPr>
                <w:rFonts w:ascii="仿宋_GB2312" w:eastAsia="仿宋_GB2312" w:hAnsi="Calibri" w:hint="eastAsia"/>
                <w:spacing w:val="-6"/>
                <w:kern w:val="2"/>
                <w:sz w:val="18"/>
                <w:szCs w:val="18"/>
              </w:rPr>
              <w:t>内温度保持在 20℃-25℃，相对湿度保持在 45%-65%之间。</w:t>
            </w:r>
          </w:p>
        </w:tc>
        <w:tc>
          <w:tcPr>
            <w:tcW w:w="2280"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60"/>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安全消防</w:t>
            </w:r>
          </w:p>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子系统</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a6"/>
              <w:snapToGrid w:val="0"/>
              <w:spacing w:before="100" w:beforeAutospacing="1" w:after="100" w:afterAutospacing="1"/>
              <w:ind w:firstLineChars="0" w:firstLine="0"/>
              <w:rPr>
                <w:rFonts w:ascii="仿宋_GB2312" w:eastAsia="仿宋_GB2312" w:hAnsi="Calibri"/>
                <w:kern w:val="2"/>
                <w:sz w:val="18"/>
                <w:szCs w:val="18"/>
              </w:rPr>
            </w:pPr>
            <w:r>
              <w:rPr>
                <w:rFonts w:ascii="仿宋_GB2312" w:eastAsia="仿宋_GB2312" w:hAnsi="Calibri" w:hint="eastAsia"/>
                <w:kern w:val="2"/>
                <w:sz w:val="18"/>
                <w:szCs w:val="18"/>
              </w:rPr>
              <w:t>1.设置门禁，安装摄像头、机房报警系统，对进出人员进行授权管理。做到监控无死角，对机房进行实时监控录像；</w:t>
            </w:r>
          </w:p>
          <w:p w:rsidR="005D2871" w:rsidRDefault="00C21B1E" w:rsidP="00AC2E96">
            <w:pPr>
              <w:pStyle w:val="a6"/>
              <w:snapToGrid w:val="0"/>
              <w:spacing w:before="100" w:beforeAutospacing="1" w:after="100" w:afterAutospacing="1"/>
              <w:ind w:firstLineChars="0" w:firstLine="0"/>
              <w:rPr>
                <w:rFonts w:ascii="仿宋_GB2312" w:eastAsia="仿宋_GB2312" w:hAnsi="Calibri"/>
                <w:kern w:val="2"/>
                <w:sz w:val="18"/>
                <w:szCs w:val="18"/>
              </w:rPr>
            </w:pPr>
            <w:r>
              <w:rPr>
                <w:rFonts w:ascii="仿宋_GB2312" w:eastAsia="仿宋_GB2312" w:hAnsi="Calibri" w:hint="eastAsia"/>
                <w:kern w:val="2"/>
                <w:sz w:val="18"/>
                <w:szCs w:val="18"/>
              </w:rPr>
              <w:t>2. IDC机房的耐火等级不应低于二级，配备洁净气体灭火系统，灭火剂不应对电子信息设备造成污渍损害。</w:t>
            </w:r>
          </w:p>
        </w:tc>
        <w:tc>
          <w:tcPr>
            <w:tcW w:w="2280"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685"/>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a6"/>
              <w:snapToGrid w:val="0"/>
              <w:spacing w:before="100" w:beforeAutospacing="1" w:after="100" w:afterAutospacing="1"/>
              <w:ind w:firstLineChars="0" w:firstLine="0"/>
              <w:jc w:val="center"/>
              <w:rPr>
                <w:rFonts w:ascii="仿宋_GB2312" w:eastAsia="仿宋_GB2312"/>
                <w:sz w:val="18"/>
                <w:szCs w:val="18"/>
              </w:rPr>
            </w:pPr>
            <w:r>
              <w:rPr>
                <w:rFonts w:ascii="仿宋_GB2312" w:eastAsia="仿宋_GB2312" w:hint="eastAsia"/>
                <w:sz w:val="18"/>
                <w:szCs w:val="18"/>
              </w:rPr>
              <w:t>环境监控</w:t>
            </w:r>
          </w:p>
          <w:p w:rsidR="005D2871" w:rsidRDefault="00C21B1E" w:rsidP="00AC2E96">
            <w:pPr>
              <w:pStyle w:val="a6"/>
              <w:snapToGrid w:val="0"/>
              <w:spacing w:before="100" w:beforeAutospacing="1" w:after="100" w:afterAutospacing="1"/>
              <w:ind w:firstLineChars="0" w:firstLine="0"/>
              <w:jc w:val="center"/>
              <w:rPr>
                <w:rFonts w:ascii="仿宋_GB2312" w:eastAsia="仿宋_GB2312"/>
                <w:sz w:val="18"/>
                <w:szCs w:val="18"/>
              </w:rPr>
            </w:pPr>
            <w:r>
              <w:rPr>
                <w:rFonts w:ascii="仿宋_GB2312" w:eastAsia="仿宋_GB2312" w:hint="eastAsia"/>
                <w:sz w:val="18"/>
                <w:szCs w:val="18"/>
              </w:rPr>
              <w:t>子系统</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pStyle w:val="a6"/>
              <w:snapToGrid w:val="0"/>
              <w:spacing w:before="100" w:beforeAutospacing="1" w:after="100" w:afterAutospacing="1"/>
              <w:ind w:firstLineChars="0" w:firstLine="0"/>
              <w:rPr>
                <w:rFonts w:ascii="仿宋_GB2312" w:eastAsia="仿宋_GB2312" w:hAnsi="Calibri"/>
                <w:kern w:val="2"/>
                <w:sz w:val="18"/>
                <w:szCs w:val="18"/>
              </w:rPr>
            </w:pPr>
            <w:r>
              <w:rPr>
                <w:rFonts w:ascii="仿宋_GB2312" w:eastAsia="仿宋_GB2312" w:hAnsi="Calibri" w:hint="eastAsia"/>
                <w:kern w:val="2"/>
                <w:sz w:val="18"/>
                <w:szCs w:val="18"/>
              </w:rPr>
              <w:t>对机房的温湿度、消防、UPS主机、精密空调、配电、漏水等子系统进行全面集中监控准确定位。具有本地声音报警、短信告警功能，支持实时显示、智能查询、报表、存储功能，支持远程访问。</w:t>
            </w:r>
          </w:p>
        </w:tc>
        <w:tc>
          <w:tcPr>
            <w:tcW w:w="2280"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可选</w:t>
            </w:r>
          </w:p>
        </w:tc>
      </w:tr>
      <w:tr w:rsidR="005D2871">
        <w:trPr>
          <w:trHeight w:val="427"/>
          <w:jc w:val="center"/>
        </w:trPr>
        <w:tc>
          <w:tcPr>
            <w:tcW w:w="150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综合布线</w:t>
            </w:r>
          </w:p>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子系统</w:t>
            </w:r>
          </w:p>
        </w:tc>
        <w:tc>
          <w:tcPr>
            <w:tcW w:w="5107"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1.宜采用六类及以上布线系统；</w:t>
            </w:r>
          </w:p>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2.综合布线系统应做到与强电分离，桥架接地良好；</w:t>
            </w:r>
          </w:p>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3.机房内的所有电缆、光缆、配线设备等均应给定标签和布</w:t>
            </w:r>
            <w:r>
              <w:rPr>
                <w:rFonts w:ascii="仿宋_GB2312" w:hint="eastAsia"/>
                <w:sz w:val="18"/>
                <w:szCs w:val="18"/>
              </w:rPr>
              <w:lastRenderedPageBreak/>
              <w:t>线图；</w:t>
            </w:r>
          </w:p>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 xml:space="preserve">4.机房内主配线架应有一定数量的光纤、双绞线跳线与支持区配线架相连，以方便对机房内各台主机的操作及管理； </w:t>
            </w:r>
          </w:p>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5.机柜规格应统一，网络设备和服务器设备分开放置到不同的机柜；</w:t>
            </w:r>
          </w:p>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6.配备KVM系统,具备对所有服务器的集中操作、智能切换控制等功能。</w:t>
            </w:r>
          </w:p>
        </w:tc>
        <w:tc>
          <w:tcPr>
            <w:tcW w:w="2280"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lastRenderedPageBreak/>
              <w:t>要求相同</w:t>
            </w:r>
          </w:p>
        </w:tc>
      </w:tr>
    </w:tbl>
    <w:p w:rsidR="005D2871" w:rsidRDefault="00C21B1E" w:rsidP="00AC2E96">
      <w:pPr>
        <w:spacing w:before="100" w:beforeAutospacing="1" w:after="100" w:afterAutospacing="1"/>
        <w:ind w:firstLineChars="200" w:firstLine="380"/>
        <w:rPr>
          <w:rFonts w:ascii="仿宋_GB2312"/>
          <w:sz w:val="18"/>
          <w:szCs w:val="18"/>
        </w:rPr>
      </w:pPr>
      <w:r>
        <w:rPr>
          <w:rFonts w:ascii="仿宋_GB2312" w:hint="eastAsia"/>
          <w:sz w:val="18"/>
          <w:szCs w:val="18"/>
        </w:rPr>
        <w:lastRenderedPageBreak/>
        <w:t>注：上表为自建模式下市、县两级教育城域网的建设要求。采用托管、租用等模式建设时，其网络中心等级和传输网络标准不应低于自建模式的同类要求，下同。</w:t>
      </w:r>
    </w:p>
    <w:p w:rsidR="005D2871" w:rsidRDefault="00C21B1E" w:rsidP="00AC2E96">
      <w:pPr>
        <w:pStyle w:val="a6"/>
        <w:spacing w:before="100" w:beforeAutospacing="1" w:after="100" w:afterAutospacing="1"/>
        <w:ind w:firstLineChars="0" w:firstLine="405"/>
        <w:jc w:val="center"/>
        <w:rPr>
          <w:b/>
        </w:rPr>
      </w:pPr>
      <w:r>
        <w:rPr>
          <w:rFonts w:hint="eastAsia"/>
          <w:b/>
        </w:rPr>
        <w:t>表</w:t>
      </w:r>
      <w:r>
        <w:rPr>
          <w:b/>
        </w:rPr>
        <w:t xml:space="preserve">1-2  </w:t>
      </w:r>
      <w:r>
        <w:rPr>
          <w:rFonts w:hint="eastAsia"/>
          <w:b/>
        </w:rPr>
        <w:t>教育城域网网络中心网络设备配备要求（自建模式）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961"/>
        <w:gridCol w:w="1893"/>
      </w:tblGrid>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建设项目</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市级网络中心</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县级网络中心</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*互联网边界</w:t>
            </w:r>
          </w:p>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路由器</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配备</w:t>
            </w:r>
            <w:r w:rsidR="006F2176">
              <w:rPr>
                <w:rFonts w:ascii="仿宋_GB2312" w:hint="eastAsia"/>
                <w:sz w:val="18"/>
                <w:szCs w:val="18"/>
              </w:rPr>
              <w:t>万</w:t>
            </w:r>
            <w:r>
              <w:rPr>
                <w:rFonts w:ascii="仿宋_GB2312" w:hint="eastAsia"/>
                <w:sz w:val="18"/>
                <w:szCs w:val="18"/>
              </w:rPr>
              <w:t>兆电信级模块化路由器。支持VPN，支持SNMP协议，支持IPv6；转发性能根据需要计算配置，并留有余量。</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配备</w:t>
            </w:r>
            <w:r w:rsidR="006F2176">
              <w:rPr>
                <w:rFonts w:ascii="仿宋_GB2312" w:hint="eastAsia"/>
                <w:sz w:val="18"/>
                <w:szCs w:val="18"/>
              </w:rPr>
              <w:t>千</w:t>
            </w:r>
            <w:r>
              <w:rPr>
                <w:rFonts w:ascii="仿宋_GB2312" w:hint="eastAsia"/>
                <w:sz w:val="18"/>
                <w:szCs w:val="18"/>
              </w:rPr>
              <w:t>兆路由器</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互联网边界</w:t>
            </w:r>
          </w:p>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防火墙</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配备</w:t>
            </w:r>
            <w:r w:rsidR="006F2176">
              <w:rPr>
                <w:rFonts w:ascii="仿宋_GB2312" w:hint="eastAsia"/>
                <w:sz w:val="18"/>
                <w:szCs w:val="18"/>
              </w:rPr>
              <w:t>万</w:t>
            </w:r>
            <w:r>
              <w:rPr>
                <w:rFonts w:ascii="仿宋_GB2312" w:hint="eastAsia"/>
                <w:sz w:val="18"/>
                <w:szCs w:val="18"/>
              </w:rPr>
              <w:t>兆防火墙。支持IPv6；具备行为管理和审计功能</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配备</w:t>
            </w:r>
            <w:r w:rsidR="006F2176">
              <w:rPr>
                <w:rFonts w:ascii="仿宋_GB2312" w:hint="eastAsia"/>
                <w:sz w:val="18"/>
                <w:szCs w:val="18"/>
              </w:rPr>
              <w:t>千</w:t>
            </w:r>
            <w:r>
              <w:rPr>
                <w:rFonts w:ascii="仿宋_GB2312" w:hint="eastAsia"/>
                <w:sz w:val="18"/>
                <w:szCs w:val="18"/>
              </w:rPr>
              <w:t>兆防火墙</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核心交换机</w:t>
            </w:r>
          </w:p>
        </w:tc>
        <w:tc>
          <w:tcPr>
            <w:tcW w:w="4961" w:type="dxa"/>
            <w:tcBorders>
              <w:top w:val="single" w:sz="4" w:space="0" w:color="auto"/>
              <w:left w:val="single" w:sz="4" w:space="0" w:color="auto"/>
              <w:bottom w:val="single" w:sz="4" w:space="0" w:color="auto"/>
              <w:right w:val="single" w:sz="4" w:space="0" w:color="auto"/>
            </w:tcBorders>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 xml:space="preserve">三层及以上电信级模块化交换机。交换容量≥网内计算机总数*0.2Gbps，满足全网百兆以上桌面接入交换。配备千兆/万兆光口、电口，冗余主控板，冗余电源。 </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配备千兆三层核心交换机</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汇聚交换机</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三层</w:t>
            </w:r>
            <w:r w:rsidR="006F2176">
              <w:rPr>
                <w:rFonts w:ascii="仿宋_GB2312" w:hint="eastAsia"/>
                <w:sz w:val="18"/>
                <w:szCs w:val="18"/>
              </w:rPr>
              <w:t>万</w:t>
            </w:r>
            <w:r>
              <w:rPr>
                <w:rFonts w:ascii="仿宋_GB2312" w:hint="eastAsia"/>
                <w:sz w:val="18"/>
                <w:szCs w:val="18"/>
              </w:rPr>
              <w:t xml:space="preserve">兆交换机。支持远程访问控制、安全管理，支持IPv6，支持VLAN划分和组播功能，千兆光口≥24个，千兆电口≥24个，交换容量满足下联设备千兆互联需要，配备冗余电源。 </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三层千兆交换机</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接入交换机</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三层千兆交换机。交换容量≥网内计算机总数*0.2Gbps，满足全网百兆以上桌面接入交换。</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智能交换机</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*负载均衡设备</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吞吐量 1Gbps, TCP并发会话数、七层协议 处理能力满足网络设备或服务器负载均衡要求</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ind w:firstLine="420"/>
              <w:rPr>
                <w:rFonts w:ascii="仿宋_GB2312"/>
                <w:sz w:val="18"/>
                <w:szCs w:val="18"/>
              </w:rPr>
            </w:pPr>
            <w:r>
              <w:rPr>
                <w:rFonts w:ascii="仿宋_GB2312" w:hint="eastAsia"/>
                <w:sz w:val="18"/>
                <w:szCs w:val="18"/>
              </w:rPr>
              <w:t>选配</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*缓存设备</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最大承载流量HTTP小包处理能力≥1Gbps</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ind w:firstLine="420"/>
              <w:rPr>
                <w:rFonts w:ascii="仿宋_GB2312"/>
                <w:sz w:val="18"/>
                <w:szCs w:val="18"/>
              </w:rPr>
            </w:pPr>
            <w:r>
              <w:rPr>
                <w:rFonts w:ascii="仿宋_GB2312" w:hint="eastAsia"/>
                <w:sz w:val="18"/>
                <w:szCs w:val="18"/>
              </w:rPr>
              <w:t>选配</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*入侵检测设备</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支持入侵检测、网络管理、网络监控功能，具备宽带高速网络实时入侵检测技术</w:t>
            </w:r>
          </w:p>
        </w:tc>
        <w:tc>
          <w:tcPr>
            <w:tcW w:w="1893"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ind w:firstLine="420"/>
              <w:rPr>
                <w:rFonts w:ascii="仿宋_GB2312"/>
                <w:sz w:val="18"/>
                <w:szCs w:val="18"/>
              </w:rPr>
            </w:pPr>
            <w:r>
              <w:rPr>
                <w:rFonts w:ascii="仿宋_GB2312" w:hint="eastAsia"/>
                <w:sz w:val="18"/>
                <w:szCs w:val="18"/>
              </w:rPr>
              <w:t>选配</w:t>
            </w:r>
          </w:p>
        </w:tc>
      </w:tr>
    </w:tbl>
    <w:p w:rsidR="005D2871" w:rsidRDefault="00C21B1E" w:rsidP="00AC2E96">
      <w:pPr>
        <w:pStyle w:val="a6"/>
        <w:spacing w:before="100" w:beforeAutospacing="1" w:after="100" w:afterAutospacing="1"/>
        <w:ind w:firstLineChars="0" w:firstLine="0"/>
        <w:rPr>
          <w:rFonts w:ascii="仿宋_GB2312" w:eastAsia="仿宋_GB2312"/>
          <w:sz w:val="18"/>
          <w:szCs w:val="18"/>
        </w:rPr>
      </w:pPr>
      <w:r>
        <w:rPr>
          <w:rFonts w:ascii="仿宋_GB2312" w:eastAsia="仿宋_GB2312" w:hint="eastAsia"/>
          <w:sz w:val="18"/>
          <w:szCs w:val="18"/>
        </w:rPr>
        <w:t>注：*为选配。</w:t>
      </w:r>
    </w:p>
    <w:p w:rsidR="008754A8" w:rsidRDefault="008754A8" w:rsidP="00AC2E96">
      <w:pPr>
        <w:pStyle w:val="a6"/>
        <w:spacing w:before="100" w:beforeAutospacing="1" w:after="100" w:afterAutospacing="1"/>
        <w:ind w:firstLineChars="0" w:firstLine="0"/>
        <w:rPr>
          <w:rFonts w:ascii="仿宋_GB2312" w:eastAsia="仿宋_GB2312"/>
          <w:sz w:val="18"/>
          <w:szCs w:val="18"/>
        </w:rPr>
      </w:pPr>
    </w:p>
    <w:p w:rsidR="008754A8" w:rsidRPr="00AC2E96" w:rsidRDefault="008754A8" w:rsidP="00AC2E96">
      <w:pPr>
        <w:pStyle w:val="a6"/>
        <w:spacing w:before="100" w:beforeAutospacing="1" w:after="100" w:afterAutospacing="1"/>
        <w:ind w:firstLineChars="0" w:firstLine="0"/>
        <w:rPr>
          <w:rFonts w:ascii="仿宋_GB2312" w:eastAsia="仿宋_GB2312"/>
          <w:sz w:val="18"/>
          <w:szCs w:val="18"/>
        </w:rPr>
      </w:pPr>
    </w:p>
    <w:p w:rsidR="005D2871" w:rsidRDefault="00C21B1E" w:rsidP="00AC2E96">
      <w:pPr>
        <w:pStyle w:val="a6"/>
        <w:spacing w:before="100" w:beforeAutospacing="1" w:after="100" w:afterAutospacing="1"/>
        <w:ind w:firstLineChars="0" w:firstLine="405"/>
        <w:jc w:val="center"/>
        <w:rPr>
          <w:b/>
        </w:rPr>
      </w:pPr>
      <w:r>
        <w:rPr>
          <w:rFonts w:hint="eastAsia"/>
          <w:b/>
        </w:rPr>
        <w:lastRenderedPageBreak/>
        <w:t>表1-3  教育城域网网络中心服务器、存储设备配备要求（自建模式）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4"/>
        <w:gridCol w:w="4569"/>
        <w:gridCol w:w="1636"/>
      </w:tblGrid>
      <w:tr w:rsidR="005D2871">
        <w:trPr>
          <w:trHeight w:val="454"/>
          <w:jc w:val="center"/>
        </w:trPr>
        <w:tc>
          <w:tcPr>
            <w:tcW w:w="211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建设项目</w:t>
            </w:r>
          </w:p>
        </w:tc>
        <w:tc>
          <w:tcPr>
            <w:tcW w:w="4569"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市级网络中心</w:t>
            </w:r>
          </w:p>
        </w:tc>
        <w:tc>
          <w:tcPr>
            <w:tcW w:w="1636"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县级网络中心</w:t>
            </w:r>
          </w:p>
        </w:tc>
      </w:tr>
      <w:tr w:rsidR="005D2871">
        <w:trPr>
          <w:trHeight w:val="454"/>
          <w:jc w:val="center"/>
        </w:trPr>
        <w:tc>
          <w:tcPr>
            <w:tcW w:w="211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WEB、应用</w:t>
            </w:r>
          </w:p>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服务器</w:t>
            </w:r>
          </w:p>
        </w:tc>
        <w:tc>
          <w:tcPr>
            <w:tcW w:w="4569"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CPU：4核以上，内存≥32GB，支持虚拟化技术，千兆以太网口≥2个。</w:t>
            </w:r>
          </w:p>
        </w:tc>
        <w:tc>
          <w:tcPr>
            <w:tcW w:w="1636"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54"/>
          <w:jc w:val="center"/>
        </w:trPr>
        <w:tc>
          <w:tcPr>
            <w:tcW w:w="211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数据库服务器</w:t>
            </w:r>
          </w:p>
        </w:tc>
        <w:tc>
          <w:tcPr>
            <w:tcW w:w="4569"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CPU：2路8核以上，内存≥32GB，支持RAID，千兆以太网口≥2个。</w:t>
            </w:r>
          </w:p>
        </w:tc>
        <w:tc>
          <w:tcPr>
            <w:tcW w:w="1636"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54"/>
          <w:jc w:val="center"/>
        </w:trPr>
        <w:tc>
          <w:tcPr>
            <w:tcW w:w="211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认证系统、管理服务器</w:t>
            </w:r>
          </w:p>
        </w:tc>
        <w:tc>
          <w:tcPr>
            <w:tcW w:w="4569"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CPU：4核以上，内存≥32GB，支持虚拟化技术，千兆以太网口≥2个。</w:t>
            </w:r>
          </w:p>
        </w:tc>
        <w:tc>
          <w:tcPr>
            <w:tcW w:w="1636"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54"/>
          <w:jc w:val="center"/>
        </w:trPr>
        <w:tc>
          <w:tcPr>
            <w:tcW w:w="211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存储、备份设备</w:t>
            </w:r>
          </w:p>
        </w:tc>
        <w:tc>
          <w:tcPr>
            <w:tcW w:w="4569"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根据业务需要确定存储容量，最小存储容量≥24TB</w:t>
            </w:r>
          </w:p>
        </w:tc>
        <w:tc>
          <w:tcPr>
            <w:tcW w:w="1636"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最小存储容量≥12TB</w:t>
            </w:r>
          </w:p>
        </w:tc>
      </w:tr>
    </w:tbl>
    <w:p w:rsidR="005D2871" w:rsidRDefault="005D2871" w:rsidP="00AC2E96">
      <w:pPr>
        <w:pStyle w:val="a6"/>
        <w:spacing w:before="100" w:beforeAutospacing="1" w:after="100" w:afterAutospacing="1"/>
        <w:ind w:firstLineChars="0" w:firstLine="0"/>
      </w:pPr>
    </w:p>
    <w:p w:rsidR="005D2871" w:rsidRDefault="00C21B1E" w:rsidP="00AC2E96">
      <w:pPr>
        <w:pStyle w:val="a6"/>
        <w:spacing w:before="100" w:beforeAutospacing="1" w:after="100" w:afterAutospacing="1"/>
        <w:ind w:firstLineChars="0" w:firstLine="405"/>
        <w:jc w:val="center"/>
        <w:rPr>
          <w:b/>
        </w:rPr>
      </w:pPr>
      <w:r>
        <w:rPr>
          <w:rFonts w:hint="eastAsia"/>
          <w:b/>
        </w:rPr>
        <w:t>表</w:t>
      </w:r>
      <w:r>
        <w:rPr>
          <w:b/>
        </w:rPr>
        <w:t xml:space="preserve">1-4  </w:t>
      </w:r>
      <w:r>
        <w:rPr>
          <w:rFonts w:hint="eastAsia"/>
          <w:b/>
        </w:rPr>
        <w:t>教育城域网网络中心基础软件配备要求（自建模式）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961"/>
        <w:gridCol w:w="1784"/>
      </w:tblGrid>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建设项目</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市级网络中心</w:t>
            </w:r>
          </w:p>
        </w:tc>
        <w:tc>
          <w:tcPr>
            <w:tcW w:w="178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县级网络中心</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操作系统</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LINUX或WINDOWS SREVER 等</w:t>
            </w:r>
          </w:p>
        </w:tc>
        <w:tc>
          <w:tcPr>
            <w:tcW w:w="178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数据库系统</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根据应用选择使用SQL SERVER或MySQL等</w:t>
            </w:r>
          </w:p>
        </w:tc>
        <w:tc>
          <w:tcPr>
            <w:tcW w:w="178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服务器软件</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虚拟化软件、云计算服务管理软件等</w:t>
            </w:r>
          </w:p>
        </w:tc>
        <w:tc>
          <w:tcPr>
            <w:tcW w:w="178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网络管理软件</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用于网络、计算、存储系统的管理</w:t>
            </w:r>
          </w:p>
        </w:tc>
        <w:tc>
          <w:tcPr>
            <w:tcW w:w="178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r w:rsidR="005D2871">
        <w:trPr>
          <w:trHeight w:val="454"/>
          <w:jc w:val="center"/>
        </w:trPr>
        <w:tc>
          <w:tcPr>
            <w:tcW w:w="1668"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安全软件</w:t>
            </w:r>
          </w:p>
        </w:tc>
        <w:tc>
          <w:tcPr>
            <w:tcW w:w="4961"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安全审计软件、防病毒软件等</w:t>
            </w:r>
          </w:p>
        </w:tc>
        <w:tc>
          <w:tcPr>
            <w:tcW w:w="1784" w:type="dxa"/>
            <w:tcBorders>
              <w:top w:val="single" w:sz="4" w:space="0" w:color="auto"/>
              <w:left w:val="single" w:sz="4" w:space="0" w:color="auto"/>
              <w:bottom w:val="single" w:sz="4" w:space="0" w:color="auto"/>
              <w:right w:val="single" w:sz="4" w:space="0" w:color="auto"/>
            </w:tcBorders>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bl>
    <w:p w:rsidR="005D2871" w:rsidRDefault="00C21B1E" w:rsidP="00AC2E96">
      <w:pPr>
        <w:spacing w:before="100" w:beforeAutospacing="1" w:after="100" w:afterAutospacing="1"/>
        <w:rPr>
          <w:rFonts w:ascii="楷体_GB2312" w:eastAsia="楷体_GB2312"/>
        </w:rPr>
      </w:pPr>
      <w:bookmarkStart w:id="157" w:name="_Toc371634978"/>
      <w:bookmarkStart w:id="158" w:name="_Toc371635070"/>
      <w:bookmarkStart w:id="159" w:name="_Toc371635159"/>
      <w:bookmarkEnd w:id="157"/>
      <w:bookmarkEnd w:id="158"/>
      <w:bookmarkEnd w:id="159"/>
      <w:r>
        <w:rPr>
          <w:rFonts w:ascii="楷体_GB2312" w:eastAsia="楷体_GB2312" w:hint="eastAsia"/>
        </w:rPr>
        <w:t>（二）传输网络</w:t>
      </w:r>
    </w:p>
    <w:p w:rsidR="005D2871" w:rsidRDefault="00C21B1E" w:rsidP="00AC2E96">
      <w:pPr>
        <w:spacing w:before="100" w:beforeAutospacing="1" w:after="100" w:afterAutospacing="1"/>
        <w:jc w:val="center"/>
        <w:rPr>
          <w:rFonts w:ascii="宋体" w:eastAsia="宋体" w:hAnsi="Times New Roman"/>
          <w:b/>
          <w:kern w:val="0"/>
          <w:sz w:val="21"/>
          <w:szCs w:val="20"/>
        </w:rPr>
      </w:pPr>
      <w:r>
        <w:rPr>
          <w:rFonts w:ascii="宋体" w:eastAsia="宋体" w:hAnsi="Times New Roman" w:hint="eastAsia"/>
          <w:b/>
          <w:kern w:val="0"/>
          <w:sz w:val="21"/>
          <w:szCs w:val="20"/>
        </w:rPr>
        <w:t>表2-1</w:t>
      </w:r>
      <w:r>
        <w:rPr>
          <w:rFonts w:ascii="宋体" w:eastAsia="宋体" w:hAnsi="Times New Roman"/>
          <w:b/>
          <w:kern w:val="0"/>
          <w:sz w:val="21"/>
          <w:szCs w:val="20"/>
        </w:rPr>
        <w:t xml:space="preserve"> </w:t>
      </w:r>
      <w:r>
        <w:rPr>
          <w:rFonts w:ascii="宋体" w:eastAsia="宋体" w:hAnsi="Times New Roman" w:hint="eastAsia"/>
          <w:b/>
          <w:kern w:val="0"/>
          <w:sz w:val="21"/>
          <w:szCs w:val="20"/>
        </w:rPr>
        <w:t>教育城域网传输网络（内网）带宽要求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961"/>
        <w:gridCol w:w="1875"/>
      </w:tblGrid>
      <w:tr w:rsidR="005D2871">
        <w:trPr>
          <w:trHeight w:val="213"/>
          <w:jc w:val="center"/>
        </w:trPr>
        <w:tc>
          <w:tcPr>
            <w:tcW w:w="1560" w:type="dxa"/>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建设项目</w:t>
            </w:r>
          </w:p>
        </w:tc>
        <w:tc>
          <w:tcPr>
            <w:tcW w:w="4961" w:type="dxa"/>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市级网络中心</w:t>
            </w:r>
          </w:p>
        </w:tc>
        <w:tc>
          <w:tcPr>
            <w:tcW w:w="1875" w:type="dxa"/>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县级网络中心</w:t>
            </w:r>
          </w:p>
        </w:tc>
      </w:tr>
      <w:tr w:rsidR="005D2871">
        <w:trPr>
          <w:trHeight w:val="427"/>
          <w:jc w:val="center"/>
        </w:trPr>
        <w:tc>
          <w:tcPr>
            <w:tcW w:w="1560" w:type="dxa"/>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传输网络</w:t>
            </w:r>
          </w:p>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带宽</w:t>
            </w:r>
          </w:p>
        </w:tc>
        <w:tc>
          <w:tcPr>
            <w:tcW w:w="4961" w:type="dxa"/>
            <w:vAlign w:val="center"/>
          </w:tcPr>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骨干网带宽：采用光纤组网时≥1Gbps。</w:t>
            </w:r>
          </w:p>
          <w:p w:rsidR="005D2871" w:rsidRDefault="00C21B1E" w:rsidP="00AC2E96">
            <w:pPr>
              <w:snapToGrid w:val="0"/>
              <w:spacing w:before="100" w:beforeAutospacing="1" w:after="100" w:afterAutospacing="1"/>
              <w:rPr>
                <w:rFonts w:ascii="仿宋_GB2312"/>
                <w:sz w:val="18"/>
                <w:szCs w:val="18"/>
              </w:rPr>
            </w:pPr>
            <w:r>
              <w:rPr>
                <w:rFonts w:ascii="仿宋_GB2312" w:hint="eastAsia"/>
                <w:sz w:val="18"/>
                <w:szCs w:val="18"/>
              </w:rPr>
              <w:t>接入网带宽：</w:t>
            </w:r>
            <w:r>
              <w:rPr>
                <w:rFonts w:ascii="仿宋_GB2312" w:hAnsi="宋体" w:cs="Calibri" w:hint="eastAsia"/>
                <w:color w:val="000000"/>
                <w:kern w:val="0"/>
                <w:sz w:val="18"/>
                <w:szCs w:val="18"/>
              </w:rPr>
              <w:t>学校到教育城域网采用光纤接入时，学校师生人数</w:t>
            </w:r>
            <w:r>
              <w:rPr>
                <w:rFonts w:ascii="仿宋_GB2312" w:hAnsi="宋体" w:cs="宋体" w:hint="eastAsia"/>
                <w:kern w:val="0"/>
                <w:sz w:val="18"/>
                <w:szCs w:val="18"/>
              </w:rPr>
              <w:t>≥</w:t>
            </w:r>
            <w:r>
              <w:rPr>
                <w:rFonts w:ascii="仿宋_GB2312" w:hAnsi="宋体" w:cs="Calibri" w:hint="eastAsia"/>
                <w:color w:val="000000"/>
                <w:kern w:val="0"/>
                <w:sz w:val="18"/>
                <w:szCs w:val="18"/>
              </w:rPr>
              <w:t>1200人，接入带宽1G</w:t>
            </w:r>
            <w:r>
              <w:rPr>
                <w:rFonts w:ascii="仿宋_GB2312" w:hint="eastAsia"/>
                <w:sz w:val="18"/>
                <w:szCs w:val="18"/>
              </w:rPr>
              <w:t>bps</w:t>
            </w:r>
            <w:r>
              <w:rPr>
                <w:rFonts w:ascii="仿宋_GB2312" w:hAnsi="宋体" w:cs="Calibri" w:hint="eastAsia"/>
                <w:color w:val="000000"/>
                <w:kern w:val="0"/>
                <w:sz w:val="18"/>
                <w:szCs w:val="18"/>
              </w:rPr>
              <w:t>；学校师生人数在300人—1200人，接入带宽</w:t>
            </w:r>
            <w:r>
              <w:rPr>
                <w:rFonts w:ascii="仿宋_GB2312" w:hAnsi="宋体" w:cs="宋体" w:hint="eastAsia"/>
                <w:kern w:val="0"/>
                <w:sz w:val="18"/>
                <w:szCs w:val="18"/>
              </w:rPr>
              <w:t>≥</w:t>
            </w:r>
            <w:r w:rsidR="00E6454C">
              <w:rPr>
                <w:rFonts w:ascii="仿宋_GB2312" w:hAnsi="宋体" w:cs="Calibri" w:hint="eastAsia"/>
                <w:color w:val="000000"/>
                <w:kern w:val="0"/>
                <w:sz w:val="18"/>
                <w:szCs w:val="18"/>
              </w:rPr>
              <w:t>5</w:t>
            </w:r>
            <w:r>
              <w:rPr>
                <w:rFonts w:ascii="仿宋_GB2312" w:hAnsi="宋体" w:cs="Calibri" w:hint="eastAsia"/>
                <w:color w:val="000000"/>
                <w:kern w:val="0"/>
                <w:sz w:val="18"/>
                <w:szCs w:val="18"/>
              </w:rPr>
              <w:t>00M</w:t>
            </w:r>
            <w:r>
              <w:rPr>
                <w:rFonts w:ascii="仿宋_GB2312" w:hint="eastAsia"/>
                <w:sz w:val="18"/>
                <w:szCs w:val="18"/>
              </w:rPr>
              <w:t>bps</w:t>
            </w:r>
            <w:r>
              <w:rPr>
                <w:rFonts w:ascii="仿宋_GB2312" w:hAnsi="宋体" w:cs="Calibri" w:hint="eastAsia"/>
                <w:color w:val="000000"/>
                <w:kern w:val="0"/>
                <w:sz w:val="18"/>
                <w:szCs w:val="18"/>
              </w:rPr>
              <w:t>；学校师生人数≤300人，接入带宽≥10</w:t>
            </w:r>
            <w:r w:rsidR="00E6454C">
              <w:rPr>
                <w:rFonts w:ascii="仿宋_GB2312" w:hAnsi="宋体" w:cs="Calibri" w:hint="eastAsia"/>
                <w:color w:val="000000"/>
                <w:kern w:val="0"/>
                <w:sz w:val="18"/>
                <w:szCs w:val="18"/>
              </w:rPr>
              <w:t>0</w:t>
            </w:r>
            <w:r>
              <w:rPr>
                <w:rFonts w:ascii="仿宋_GB2312" w:hAnsi="宋体" w:cs="Calibri" w:hint="eastAsia"/>
                <w:color w:val="000000"/>
                <w:kern w:val="0"/>
                <w:sz w:val="18"/>
                <w:szCs w:val="18"/>
              </w:rPr>
              <w:t>M</w:t>
            </w:r>
            <w:r>
              <w:rPr>
                <w:rFonts w:ascii="仿宋_GB2312" w:hint="eastAsia"/>
                <w:sz w:val="18"/>
                <w:szCs w:val="18"/>
              </w:rPr>
              <w:t>bps</w:t>
            </w:r>
            <w:r>
              <w:rPr>
                <w:rFonts w:ascii="仿宋_GB2312" w:hAnsi="宋体" w:cs="Calibri" w:hint="eastAsia"/>
                <w:color w:val="000000"/>
                <w:kern w:val="0"/>
                <w:sz w:val="18"/>
                <w:szCs w:val="18"/>
              </w:rPr>
              <w:t>。</w:t>
            </w:r>
          </w:p>
        </w:tc>
        <w:tc>
          <w:tcPr>
            <w:tcW w:w="1875" w:type="dxa"/>
            <w:vAlign w:val="center"/>
          </w:tcPr>
          <w:p w:rsidR="005D2871" w:rsidRDefault="00C21B1E" w:rsidP="00AC2E96">
            <w:pPr>
              <w:snapToGrid w:val="0"/>
              <w:spacing w:before="100" w:beforeAutospacing="1" w:after="100" w:afterAutospacing="1"/>
              <w:jc w:val="center"/>
              <w:rPr>
                <w:rFonts w:ascii="仿宋_GB2312"/>
                <w:sz w:val="18"/>
                <w:szCs w:val="18"/>
              </w:rPr>
            </w:pPr>
            <w:r>
              <w:rPr>
                <w:rFonts w:ascii="仿宋_GB2312" w:hint="eastAsia"/>
                <w:sz w:val="18"/>
                <w:szCs w:val="18"/>
              </w:rPr>
              <w:t>要求相同</w:t>
            </w:r>
          </w:p>
        </w:tc>
      </w:tr>
    </w:tbl>
    <w:p w:rsidR="008754A8" w:rsidRDefault="008754A8" w:rsidP="00AC2E96">
      <w:pPr>
        <w:spacing w:before="100" w:beforeAutospacing="1" w:after="100" w:afterAutospacing="1"/>
        <w:jc w:val="center"/>
        <w:rPr>
          <w:rFonts w:ascii="宋体" w:eastAsia="宋体" w:hAnsi="Times New Roman"/>
          <w:b/>
          <w:kern w:val="0"/>
          <w:sz w:val="21"/>
          <w:szCs w:val="20"/>
        </w:rPr>
      </w:pPr>
    </w:p>
    <w:p w:rsidR="005D2871" w:rsidRDefault="00C21B1E" w:rsidP="00AC2E96">
      <w:pPr>
        <w:spacing w:before="100" w:beforeAutospacing="1" w:after="100" w:afterAutospacing="1"/>
        <w:jc w:val="center"/>
        <w:rPr>
          <w:rFonts w:ascii="宋体" w:eastAsia="宋体" w:hAnsi="Times New Roman"/>
          <w:b/>
          <w:kern w:val="0"/>
          <w:sz w:val="21"/>
          <w:szCs w:val="20"/>
        </w:rPr>
      </w:pPr>
      <w:r>
        <w:rPr>
          <w:rFonts w:ascii="宋体" w:eastAsia="宋体" w:hAnsi="Times New Roman" w:hint="eastAsia"/>
          <w:b/>
          <w:kern w:val="0"/>
          <w:sz w:val="21"/>
          <w:szCs w:val="20"/>
        </w:rPr>
        <w:lastRenderedPageBreak/>
        <w:t>表2-2</w:t>
      </w:r>
      <w:r>
        <w:rPr>
          <w:rFonts w:ascii="宋体" w:eastAsia="宋体" w:hAnsi="Times New Roman"/>
          <w:b/>
          <w:kern w:val="0"/>
          <w:sz w:val="21"/>
          <w:szCs w:val="20"/>
        </w:rPr>
        <w:t xml:space="preserve"> </w:t>
      </w:r>
      <w:r>
        <w:rPr>
          <w:rFonts w:ascii="宋体" w:eastAsia="宋体" w:hAnsi="Times New Roman" w:hint="eastAsia"/>
          <w:b/>
          <w:kern w:val="0"/>
          <w:sz w:val="21"/>
          <w:szCs w:val="20"/>
        </w:rPr>
        <w:t>教育城域网网络中心互联网统一出口带宽要求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814"/>
        <w:gridCol w:w="2490"/>
      </w:tblGrid>
      <w:tr w:rsidR="00E6454C" w:rsidTr="00AC2E96">
        <w:trPr>
          <w:trHeight w:val="483"/>
          <w:jc w:val="center"/>
        </w:trPr>
        <w:tc>
          <w:tcPr>
            <w:tcW w:w="2336" w:type="dxa"/>
            <w:vAlign w:val="center"/>
          </w:tcPr>
          <w:p w:rsidR="00E6454C" w:rsidRDefault="00E6454C"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建设项目</w:t>
            </w:r>
          </w:p>
        </w:tc>
        <w:tc>
          <w:tcPr>
            <w:tcW w:w="5304" w:type="dxa"/>
            <w:gridSpan w:val="2"/>
            <w:vAlign w:val="center"/>
          </w:tcPr>
          <w:p w:rsidR="00E6454C" w:rsidRDefault="00E6454C"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市县级网络中心</w:t>
            </w:r>
          </w:p>
        </w:tc>
      </w:tr>
      <w:tr w:rsidR="00E6454C" w:rsidTr="00AC2E96">
        <w:trPr>
          <w:trHeight w:val="429"/>
          <w:jc w:val="center"/>
        </w:trPr>
        <w:tc>
          <w:tcPr>
            <w:tcW w:w="2336" w:type="dxa"/>
            <w:vMerge w:val="restart"/>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互联网</w:t>
            </w:r>
          </w:p>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出口带宽</w:t>
            </w: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sz w:val="18"/>
                <w:szCs w:val="18"/>
              </w:rPr>
              <w:t>巴彦淖尔市教育局</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1000M</w:t>
            </w:r>
          </w:p>
        </w:tc>
      </w:tr>
      <w:tr w:rsidR="00E6454C" w:rsidTr="00AC2E96">
        <w:trPr>
          <w:trHeight w:val="429"/>
          <w:jc w:val="center"/>
        </w:trPr>
        <w:tc>
          <w:tcPr>
            <w:tcW w:w="2336" w:type="dxa"/>
            <w:vMerge/>
            <w:vAlign w:val="center"/>
          </w:tcPr>
          <w:p w:rsidR="00E6454C" w:rsidRDefault="00E6454C" w:rsidP="00AC2E96">
            <w:pPr>
              <w:snapToGrid w:val="0"/>
              <w:spacing w:before="100" w:beforeAutospacing="1" w:after="100" w:afterAutospacing="1"/>
              <w:jc w:val="center"/>
              <w:rPr>
                <w:rFonts w:ascii="仿宋_GB2312"/>
                <w:sz w:val="18"/>
                <w:szCs w:val="18"/>
              </w:rPr>
            </w:pP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sz w:val="18"/>
                <w:szCs w:val="18"/>
              </w:rPr>
              <w:t>临河区</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5000M</w:t>
            </w:r>
          </w:p>
        </w:tc>
      </w:tr>
      <w:tr w:rsidR="00E6454C" w:rsidTr="00AC2E96">
        <w:trPr>
          <w:trHeight w:val="429"/>
          <w:jc w:val="center"/>
        </w:trPr>
        <w:tc>
          <w:tcPr>
            <w:tcW w:w="2336" w:type="dxa"/>
            <w:vMerge/>
            <w:vAlign w:val="center"/>
          </w:tcPr>
          <w:p w:rsidR="00E6454C" w:rsidRDefault="00E6454C" w:rsidP="00AC2E96">
            <w:pPr>
              <w:snapToGrid w:val="0"/>
              <w:spacing w:before="100" w:beforeAutospacing="1" w:after="100" w:afterAutospacing="1"/>
              <w:jc w:val="center"/>
              <w:rPr>
                <w:rFonts w:ascii="仿宋_GB2312"/>
                <w:sz w:val="18"/>
                <w:szCs w:val="18"/>
              </w:rPr>
            </w:pP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杭锦后旗</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2000M</w:t>
            </w:r>
          </w:p>
        </w:tc>
      </w:tr>
      <w:tr w:rsidR="00E6454C" w:rsidTr="00AC2E96">
        <w:trPr>
          <w:trHeight w:val="429"/>
          <w:jc w:val="center"/>
        </w:trPr>
        <w:tc>
          <w:tcPr>
            <w:tcW w:w="2336" w:type="dxa"/>
            <w:vMerge/>
            <w:vAlign w:val="center"/>
          </w:tcPr>
          <w:p w:rsidR="00E6454C" w:rsidRDefault="00E6454C" w:rsidP="00AC2E96">
            <w:pPr>
              <w:snapToGrid w:val="0"/>
              <w:spacing w:before="100" w:beforeAutospacing="1" w:after="100" w:afterAutospacing="1"/>
              <w:jc w:val="center"/>
              <w:rPr>
                <w:rFonts w:ascii="仿宋_GB2312"/>
                <w:sz w:val="18"/>
                <w:szCs w:val="18"/>
              </w:rPr>
            </w:pP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乌拉特前旗</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2000M</w:t>
            </w:r>
          </w:p>
        </w:tc>
      </w:tr>
      <w:tr w:rsidR="00E6454C" w:rsidTr="00AC2E96">
        <w:trPr>
          <w:trHeight w:val="429"/>
          <w:jc w:val="center"/>
        </w:trPr>
        <w:tc>
          <w:tcPr>
            <w:tcW w:w="2336" w:type="dxa"/>
            <w:vMerge/>
            <w:vAlign w:val="center"/>
          </w:tcPr>
          <w:p w:rsidR="00E6454C" w:rsidRDefault="00E6454C" w:rsidP="00AC2E96">
            <w:pPr>
              <w:snapToGrid w:val="0"/>
              <w:spacing w:before="100" w:beforeAutospacing="1" w:after="100" w:afterAutospacing="1"/>
              <w:jc w:val="center"/>
              <w:rPr>
                <w:rFonts w:ascii="仿宋_GB2312"/>
                <w:sz w:val="18"/>
                <w:szCs w:val="18"/>
              </w:rPr>
            </w:pP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五原县</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2000M</w:t>
            </w:r>
          </w:p>
        </w:tc>
      </w:tr>
      <w:tr w:rsidR="00E6454C" w:rsidTr="00AC2E96">
        <w:trPr>
          <w:trHeight w:val="429"/>
          <w:jc w:val="center"/>
        </w:trPr>
        <w:tc>
          <w:tcPr>
            <w:tcW w:w="2336" w:type="dxa"/>
            <w:vMerge/>
            <w:vAlign w:val="center"/>
          </w:tcPr>
          <w:p w:rsidR="00E6454C" w:rsidRDefault="00E6454C" w:rsidP="00AC2E96">
            <w:pPr>
              <w:snapToGrid w:val="0"/>
              <w:spacing w:before="100" w:beforeAutospacing="1" w:after="100" w:afterAutospacing="1"/>
              <w:jc w:val="center"/>
              <w:rPr>
                <w:rFonts w:ascii="仿宋_GB2312"/>
                <w:sz w:val="18"/>
                <w:szCs w:val="18"/>
              </w:rPr>
            </w:pP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乌拉特中旗</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1000M</w:t>
            </w:r>
          </w:p>
        </w:tc>
      </w:tr>
      <w:tr w:rsidR="00E6454C" w:rsidTr="00AC2E96">
        <w:trPr>
          <w:trHeight w:val="429"/>
          <w:jc w:val="center"/>
        </w:trPr>
        <w:tc>
          <w:tcPr>
            <w:tcW w:w="2336" w:type="dxa"/>
            <w:vMerge/>
            <w:vAlign w:val="center"/>
          </w:tcPr>
          <w:p w:rsidR="00E6454C" w:rsidRDefault="00E6454C" w:rsidP="00AC2E96">
            <w:pPr>
              <w:snapToGrid w:val="0"/>
              <w:spacing w:before="100" w:beforeAutospacing="1" w:after="100" w:afterAutospacing="1"/>
              <w:jc w:val="center"/>
              <w:rPr>
                <w:rFonts w:ascii="仿宋_GB2312"/>
                <w:sz w:val="18"/>
                <w:szCs w:val="18"/>
              </w:rPr>
            </w:pP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乌拉特后旗</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1000M</w:t>
            </w:r>
          </w:p>
        </w:tc>
      </w:tr>
      <w:tr w:rsidR="00E6454C" w:rsidTr="00AC2E96">
        <w:trPr>
          <w:trHeight w:val="429"/>
          <w:jc w:val="center"/>
        </w:trPr>
        <w:tc>
          <w:tcPr>
            <w:tcW w:w="2336" w:type="dxa"/>
            <w:vMerge/>
            <w:vAlign w:val="center"/>
          </w:tcPr>
          <w:p w:rsidR="00E6454C" w:rsidRDefault="00E6454C" w:rsidP="00AC2E96">
            <w:pPr>
              <w:snapToGrid w:val="0"/>
              <w:spacing w:before="100" w:beforeAutospacing="1" w:after="100" w:afterAutospacing="1"/>
              <w:jc w:val="center"/>
              <w:rPr>
                <w:rFonts w:ascii="仿宋_GB2312"/>
                <w:sz w:val="18"/>
                <w:szCs w:val="18"/>
              </w:rPr>
            </w:pPr>
          </w:p>
        </w:tc>
        <w:tc>
          <w:tcPr>
            <w:tcW w:w="2814"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磴口县</w:t>
            </w:r>
          </w:p>
        </w:tc>
        <w:tc>
          <w:tcPr>
            <w:tcW w:w="2490" w:type="dxa"/>
            <w:vAlign w:val="center"/>
          </w:tcPr>
          <w:p w:rsidR="00E6454C" w:rsidRDefault="00E6454C" w:rsidP="00AC2E96">
            <w:pPr>
              <w:snapToGrid w:val="0"/>
              <w:spacing w:before="100" w:beforeAutospacing="1" w:after="100" w:afterAutospacing="1"/>
              <w:jc w:val="center"/>
              <w:rPr>
                <w:rFonts w:ascii="仿宋_GB2312"/>
                <w:sz w:val="18"/>
                <w:szCs w:val="18"/>
              </w:rPr>
            </w:pPr>
            <w:r>
              <w:rPr>
                <w:rFonts w:ascii="仿宋_GB2312" w:hint="eastAsia"/>
                <w:sz w:val="18"/>
                <w:szCs w:val="18"/>
              </w:rPr>
              <w:t>1000M</w:t>
            </w:r>
          </w:p>
        </w:tc>
      </w:tr>
    </w:tbl>
    <w:p w:rsidR="005D2871" w:rsidRDefault="00C21B1E" w:rsidP="00AC2E96">
      <w:pPr>
        <w:spacing w:before="100" w:beforeAutospacing="1" w:after="100" w:afterAutospacing="1"/>
        <w:rPr>
          <w:rFonts w:ascii="楷体_GB2312" w:eastAsia="楷体_GB2312"/>
        </w:rPr>
      </w:pPr>
      <w:bookmarkStart w:id="160" w:name="_Toc371635162"/>
      <w:bookmarkEnd w:id="160"/>
      <w:r>
        <w:rPr>
          <w:rFonts w:ascii="楷体_GB2312" w:eastAsia="楷体_GB2312" w:hint="eastAsia"/>
        </w:rPr>
        <w:t xml:space="preserve">（三）应用系统 </w:t>
      </w:r>
    </w:p>
    <w:p w:rsidR="005D2871" w:rsidRDefault="00C21B1E" w:rsidP="00AC2E96">
      <w:pPr>
        <w:spacing w:before="100" w:beforeAutospacing="1" w:after="100" w:afterAutospacing="1"/>
        <w:jc w:val="center"/>
        <w:rPr>
          <w:rFonts w:ascii="宋体" w:eastAsia="宋体" w:hAnsi="Times New Roman"/>
          <w:b/>
          <w:kern w:val="0"/>
          <w:sz w:val="21"/>
          <w:szCs w:val="20"/>
        </w:rPr>
      </w:pPr>
      <w:r>
        <w:rPr>
          <w:rFonts w:ascii="宋体" w:eastAsia="宋体" w:hAnsi="Times New Roman" w:hint="eastAsia"/>
          <w:b/>
          <w:kern w:val="0"/>
          <w:sz w:val="21"/>
          <w:szCs w:val="20"/>
        </w:rPr>
        <w:t>表</w:t>
      </w:r>
      <w:r>
        <w:rPr>
          <w:rFonts w:ascii="宋体" w:eastAsia="宋体" w:hAnsi="Times New Roman"/>
          <w:b/>
          <w:kern w:val="0"/>
          <w:sz w:val="21"/>
          <w:szCs w:val="20"/>
        </w:rPr>
        <w:t xml:space="preserve">3 </w:t>
      </w:r>
      <w:r>
        <w:rPr>
          <w:rFonts w:ascii="宋体" w:eastAsia="宋体" w:hAnsi="Times New Roman" w:hint="eastAsia"/>
          <w:b/>
          <w:kern w:val="0"/>
          <w:sz w:val="21"/>
          <w:szCs w:val="20"/>
        </w:rPr>
        <w:t>教育城域网应用系统建设要求</w:t>
      </w: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6893"/>
      </w:tblGrid>
      <w:tr w:rsidR="005D2871">
        <w:trPr>
          <w:trHeight w:val="122"/>
        </w:trPr>
        <w:tc>
          <w:tcPr>
            <w:tcW w:w="1477" w:type="dxa"/>
            <w:vAlign w:val="center"/>
          </w:tcPr>
          <w:p w:rsidR="005D2871" w:rsidRDefault="00C21B1E" w:rsidP="00AC2E96">
            <w:pPr>
              <w:snapToGrid w:val="0"/>
              <w:spacing w:before="100" w:beforeAutospacing="1" w:after="100" w:afterAutospacing="1"/>
              <w:jc w:val="center"/>
              <w:rPr>
                <w:rFonts w:ascii="黑体" w:eastAsia="黑体"/>
                <w:sz w:val="18"/>
                <w:szCs w:val="18"/>
              </w:rPr>
            </w:pPr>
            <w:r>
              <w:rPr>
                <w:rFonts w:ascii="黑体" w:eastAsia="黑体" w:hint="eastAsia"/>
                <w:sz w:val="18"/>
                <w:szCs w:val="18"/>
              </w:rPr>
              <w:t>建设项目</w:t>
            </w:r>
          </w:p>
        </w:tc>
        <w:tc>
          <w:tcPr>
            <w:tcW w:w="6893" w:type="dxa"/>
            <w:vAlign w:val="center"/>
          </w:tcPr>
          <w:p w:rsidR="005D2871" w:rsidRDefault="00C21B1E" w:rsidP="00AC2E96">
            <w:pPr>
              <w:snapToGrid w:val="0"/>
              <w:spacing w:before="100" w:beforeAutospacing="1" w:after="100" w:afterAutospacing="1"/>
              <w:ind w:firstLineChars="200" w:firstLine="380"/>
              <w:jc w:val="center"/>
              <w:rPr>
                <w:rFonts w:ascii="黑体" w:eastAsia="黑体"/>
                <w:sz w:val="18"/>
                <w:szCs w:val="18"/>
              </w:rPr>
            </w:pPr>
            <w:r>
              <w:rPr>
                <w:rFonts w:ascii="黑体" w:eastAsia="黑体" w:hint="eastAsia"/>
                <w:sz w:val="18"/>
                <w:szCs w:val="18"/>
              </w:rPr>
              <w:t>建设内容</w:t>
            </w:r>
          </w:p>
        </w:tc>
      </w:tr>
      <w:tr w:rsidR="005D2871">
        <w:trPr>
          <w:trHeight w:val="749"/>
        </w:trPr>
        <w:tc>
          <w:tcPr>
            <w:tcW w:w="1477" w:type="dxa"/>
            <w:vAlign w:val="center"/>
          </w:tcPr>
          <w:p w:rsidR="005D2871" w:rsidRDefault="00C21B1E" w:rsidP="00AC2E96">
            <w:pPr>
              <w:snapToGrid w:val="0"/>
              <w:spacing w:before="100" w:beforeAutospacing="1" w:after="100" w:afterAutospacing="1"/>
              <w:ind w:left="154" w:hangingChars="81" w:hanging="154"/>
              <w:jc w:val="center"/>
              <w:rPr>
                <w:rFonts w:ascii="仿宋_GB2312"/>
                <w:b/>
                <w:sz w:val="18"/>
                <w:szCs w:val="18"/>
              </w:rPr>
            </w:pPr>
            <w:r>
              <w:rPr>
                <w:rFonts w:ascii="仿宋_GB2312" w:hint="eastAsia"/>
                <w:sz w:val="18"/>
                <w:szCs w:val="18"/>
              </w:rPr>
              <w:t>教育门户网站</w:t>
            </w:r>
          </w:p>
        </w:tc>
        <w:tc>
          <w:tcPr>
            <w:tcW w:w="6893" w:type="dxa"/>
            <w:vAlign w:val="center"/>
          </w:tcPr>
          <w:p w:rsidR="005D2871" w:rsidRDefault="00C21B1E" w:rsidP="00AC2E96">
            <w:pPr>
              <w:snapToGrid w:val="0"/>
              <w:spacing w:before="100" w:beforeAutospacing="1" w:after="100" w:afterAutospacing="1"/>
              <w:ind w:firstLineChars="200" w:firstLine="380"/>
              <w:jc w:val="left"/>
              <w:rPr>
                <w:rFonts w:ascii="仿宋_GB2312" w:hAnsi="宋体" w:cs="宋体"/>
                <w:sz w:val="18"/>
                <w:szCs w:val="18"/>
              </w:rPr>
            </w:pPr>
            <w:r>
              <w:rPr>
                <w:rFonts w:ascii="仿宋_GB2312" w:hAnsi="宋体" w:cs="宋体" w:hint="eastAsia"/>
                <w:sz w:val="18"/>
                <w:szCs w:val="18"/>
              </w:rPr>
              <w:t>建设基于统一信息门户架构的教育局门户网站系统和综合门户站群支撑平台，提供信息发布和查询、政务公开、业务审批和办理、互动交流等功能。</w:t>
            </w:r>
          </w:p>
        </w:tc>
      </w:tr>
      <w:tr w:rsidR="005D2871" w:rsidTr="00AC2E96">
        <w:trPr>
          <w:trHeight w:val="1592"/>
        </w:trPr>
        <w:tc>
          <w:tcPr>
            <w:tcW w:w="1477" w:type="dxa"/>
            <w:vAlign w:val="center"/>
          </w:tcPr>
          <w:p w:rsidR="005D2871" w:rsidRDefault="00C21B1E" w:rsidP="00AC2E96">
            <w:pPr>
              <w:snapToGrid w:val="0"/>
              <w:spacing w:before="100" w:beforeAutospacing="1" w:after="100" w:afterAutospacing="1"/>
              <w:jc w:val="center"/>
              <w:rPr>
                <w:rFonts w:ascii="仿宋_GB2312"/>
                <w:b/>
                <w:sz w:val="18"/>
                <w:szCs w:val="18"/>
              </w:rPr>
            </w:pPr>
            <w:r>
              <w:rPr>
                <w:rFonts w:ascii="仿宋_GB2312" w:hint="eastAsia"/>
                <w:sz w:val="18"/>
                <w:szCs w:val="18"/>
              </w:rPr>
              <w:t>教育资源公共服务平台</w:t>
            </w:r>
          </w:p>
        </w:tc>
        <w:tc>
          <w:tcPr>
            <w:tcW w:w="6893" w:type="dxa"/>
            <w:vAlign w:val="center"/>
          </w:tcPr>
          <w:p w:rsidR="005D2871" w:rsidRDefault="00C21B1E" w:rsidP="00AC2E96">
            <w:pPr>
              <w:snapToGrid w:val="0"/>
              <w:spacing w:before="100" w:beforeAutospacing="1" w:after="100" w:afterAutospacing="1"/>
              <w:ind w:firstLineChars="200" w:firstLine="380"/>
              <w:jc w:val="left"/>
              <w:rPr>
                <w:rFonts w:ascii="仿宋_GB2312" w:hAnsi="宋体" w:cs="宋体"/>
                <w:sz w:val="18"/>
                <w:szCs w:val="18"/>
              </w:rPr>
            </w:pPr>
            <w:r>
              <w:rPr>
                <w:rFonts w:ascii="仿宋_GB2312" w:hAnsi="宋体" w:cs="宋体" w:hint="eastAsia"/>
                <w:sz w:val="18"/>
                <w:szCs w:val="18"/>
              </w:rPr>
              <w:t>建立资源公共服务平台，</w:t>
            </w:r>
            <w:r>
              <w:rPr>
                <w:rFonts w:ascii="仿宋_GB2312" w:hAnsi="宋体" w:cs="宋体" w:hint="eastAsia"/>
                <w:kern w:val="0"/>
                <w:sz w:val="18"/>
                <w:szCs w:val="18"/>
              </w:rPr>
              <w:t>集成国家</w:t>
            </w:r>
            <w:r>
              <w:rPr>
                <w:rFonts w:ascii="仿宋_GB2312" w:hAnsi="宋体" w:cs="宋体" w:hint="eastAsia"/>
                <w:sz w:val="18"/>
                <w:szCs w:val="18"/>
              </w:rPr>
              <w:t>、</w:t>
            </w:r>
            <w:r w:rsidR="00892556">
              <w:rPr>
                <w:rFonts w:ascii="仿宋_GB2312" w:hAnsi="宋体" w:cs="宋体" w:hint="eastAsia"/>
                <w:sz w:val="18"/>
                <w:szCs w:val="18"/>
              </w:rPr>
              <w:t>自治区</w:t>
            </w:r>
            <w:r>
              <w:rPr>
                <w:rFonts w:ascii="仿宋_GB2312" w:hAnsi="宋体" w:cs="宋体" w:hint="eastAsia"/>
                <w:sz w:val="18"/>
                <w:szCs w:val="18"/>
              </w:rPr>
              <w:t>、市、县、校及社会等</w:t>
            </w:r>
            <w:r>
              <w:rPr>
                <w:rFonts w:ascii="仿宋_GB2312" w:hAnsi="宋体" w:cs="宋体" w:hint="eastAsia"/>
                <w:kern w:val="0"/>
                <w:sz w:val="18"/>
                <w:szCs w:val="18"/>
              </w:rPr>
              <w:t>教育</w:t>
            </w:r>
            <w:r>
              <w:rPr>
                <w:rFonts w:ascii="仿宋_GB2312" w:hAnsi="宋体" w:cs="宋体" w:hint="eastAsia"/>
                <w:sz w:val="18"/>
                <w:szCs w:val="18"/>
              </w:rPr>
              <w:t>教学</w:t>
            </w:r>
            <w:r>
              <w:rPr>
                <w:rFonts w:ascii="仿宋_GB2312" w:hAnsi="宋体" w:cs="宋体" w:hint="eastAsia"/>
                <w:kern w:val="0"/>
                <w:sz w:val="18"/>
                <w:szCs w:val="18"/>
              </w:rPr>
              <w:t>资源</w:t>
            </w:r>
            <w:r>
              <w:rPr>
                <w:rFonts w:ascii="仿宋_GB2312" w:hAnsi="宋体" w:cs="宋体" w:hint="eastAsia"/>
                <w:sz w:val="18"/>
                <w:szCs w:val="18"/>
              </w:rPr>
              <w:t>，提供教育教学应用、个人空间、在线培训、在线辅导、视频培训（会议）、家校互动等服务，为“优质资源班班通”和“网络学习空间人人通”提供支撑。教学资源包括学科资源、题库组卷、电子期刊、数字图书等；教学应用包括教研备课、同</w:t>
            </w:r>
            <w:r w:rsidR="00892556">
              <w:rPr>
                <w:rFonts w:ascii="仿宋_GB2312" w:hAnsi="宋体" w:cs="宋体" w:hint="eastAsia"/>
                <w:sz w:val="18"/>
                <w:szCs w:val="18"/>
              </w:rPr>
              <w:t>频互动</w:t>
            </w:r>
            <w:r>
              <w:rPr>
                <w:rFonts w:ascii="仿宋_GB2312" w:hAnsi="宋体" w:cs="宋体" w:hint="eastAsia"/>
                <w:sz w:val="18"/>
                <w:szCs w:val="18"/>
              </w:rPr>
              <w:t>课堂、视频点播（直播）、仿真实验等；个人空间包括教师空间、学生空间、班级空间、学校空间等。</w:t>
            </w:r>
          </w:p>
        </w:tc>
      </w:tr>
      <w:tr w:rsidR="005D2871" w:rsidTr="00AC2E96">
        <w:trPr>
          <w:trHeight w:val="835"/>
        </w:trPr>
        <w:tc>
          <w:tcPr>
            <w:tcW w:w="1477" w:type="dxa"/>
            <w:vAlign w:val="center"/>
          </w:tcPr>
          <w:p w:rsidR="005D2871" w:rsidRDefault="00C21B1E" w:rsidP="00AC2E96">
            <w:pPr>
              <w:snapToGrid w:val="0"/>
              <w:spacing w:before="100" w:beforeAutospacing="1" w:after="100" w:afterAutospacing="1"/>
              <w:jc w:val="center"/>
              <w:rPr>
                <w:rFonts w:ascii="仿宋_GB2312"/>
                <w:b/>
                <w:sz w:val="18"/>
                <w:szCs w:val="18"/>
              </w:rPr>
            </w:pPr>
            <w:r>
              <w:rPr>
                <w:rFonts w:ascii="仿宋_GB2312" w:hint="eastAsia"/>
                <w:sz w:val="18"/>
                <w:szCs w:val="18"/>
              </w:rPr>
              <w:t>教育管理公共服务平台</w:t>
            </w:r>
          </w:p>
        </w:tc>
        <w:tc>
          <w:tcPr>
            <w:tcW w:w="6893" w:type="dxa"/>
            <w:vAlign w:val="center"/>
          </w:tcPr>
          <w:p w:rsidR="005D2871" w:rsidRDefault="00C21B1E" w:rsidP="00AC2E96">
            <w:pPr>
              <w:snapToGrid w:val="0"/>
              <w:spacing w:before="100" w:beforeAutospacing="1" w:after="100" w:afterAutospacing="1"/>
              <w:ind w:firstLineChars="200" w:firstLine="356"/>
              <w:jc w:val="left"/>
              <w:rPr>
                <w:rFonts w:ascii="仿宋_GB2312" w:hAnsi="宋体" w:cs="宋体"/>
                <w:spacing w:val="-6"/>
                <w:sz w:val="18"/>
                <w:szCs w:val="18"/>
              </w:rPr>
            </w:pPr>
            <w:r>
              <w:rPr>
                <w:rFonts w:ascii="仿宋_GB2312" w:hAnsi="宋体" w:cs="宋体" w:hint="eastAsia"/>
                <w:spacing w:val="-6"/>
                <w:sz w:val="18"/>
                <w:szCs w:val="18"/>
              </w:rPr>
              <w:t>接入、应用国家、</w:t>
            </w:r>
            <w:r w:rsidR="00892556">
              <w:rPr>
                <w:rFonts w:ascii="仿宋_GB2312" w:hAnsi="宋体" w:cs="宋体" w:hint="eastAsia"/>
                <w:spacing w:val="-6"/>
                <w:sz w:val="18"/>
                <w:szCs w:val="18"/>
              </w:rPr>
              <w:t>自治区</w:t>
            </w:r>
            <w:r>
              <w:rPr>
                <w:rFonts w:ascii="仿宋_GB2312" w:hAnsi="宋体" w:cs="宋体" w:hint="eastAsia"/>
                <w:spacing w:val="-6"/>
                <w:sz w:val="18"/>
                <w:szCs w:val="18"/>
              </w:rPr>
              <w:t>教育管理公共服务平台，包括学生学籍管理系统、教师人事管理系统、招生考试管理系统、教师专业成长系统、学生综合素质评价系统、办学设施管理系统、工资财务管理系统等。</w:t>
            </w:r>
          </w:p>
        </w:tc>
      </w:tr>
      <w:tr w:rsidR="005D2871" w:rsidTr="00AC2E96">
        <w:trPr>
          <w:trHeight w:val="847"/>
        </w:trPr>
        <w:tc>
          <w:tcPr>
            <w:tcW w:w="1477" w:type="dxa"/>
            <w:vAlign w:val="center"/>
          </w:tcPr>
          <w:p w:rsidR="005D2871" w:rsidRDefault="00C21B1E" w:rsidP="00AC2E96">
            <w:pPr>
              <w:snapToGrid w:val="0"/>
              <w:spacing w:before="100" w:beforeAutospacing="1" w:after="100" w:afterAutospacing="1"/>
              <w:jc w:val="center"/>
              <w:rPr>
                <w:rFonts w:ascii="仿宋_GB2312"/>
                <w:b/>
                <w:sz w:val="18"/>
                <w:szCs w:val="18"/>
              </w:rPr>
            </w:pPr>
            <w:r>
              <w:rPr>
                <w:rFonts w:ascii="仿宋_GB2312" w:hint="eastAsia"/>
                <w:sz w:val="18"/>
                <w:szCs w:val="18"/>
              </w:rPr>
              <w:t>其它</w:t>
            </w:r>
          </w:p>
        </w:tc>
        <w:tc>
          <w:tcPr>
            <w:tcW w:w="6893" w:type="dxa"/>
            <w:vAlign w:val="center"/>
          </w:tcPr>
          <w:p w:rsidR="005D2871" w:rsidRDefault="00C21B1E" w:rsidP="00AC2E96">
            <w:pPr>
              <w:snapToGrid w:val="0"/>
              <w:spacing w:before="100" w:beforeAutospacing="1" w:after="100" w:afterAutospacing="1"/>
              <w:ind w:firstLineChars="200" w:firstLine="380"/>
              <w:jc w:val="left"/>
              <w:rPr>
                <w:rFonts w:ascii="仿宋_GB2312" w:hAnsi="宋体" w:cs="宋体"/>
                <w:sz w:val="18"/>
                <w:szCs w:val="18"/>
              </w:rPr>
            </w:pPr>
            <w:r>
              <w:rPr>
                <w:rFonts w:ascii="仿宋_GB2312" w:hAnsi="宋体" w:cs="宋体" w:hint="eastAsia"/>
                <w:sz w:val="18"/>
                <w:szCs w:val="18"/>
              </w:rPr>
              <w:t>建立其他信息化应用系统，满足本地特色化应用。包括电子邮件系统、安防监控系统、校园一卡通系统、应急指挥系统、互联网舆情监测系统、电子阅卷系统及即时消息系统、论坛、博客等。</w:t>
            </w:r>
          </w:p>
        </w:tc>
      </w:tr>
    </w:tbl>
    <w:p w:rsidR="00C21B1E" w:rsidRPr="000372E1" w:rsidRDefault="00C21B1E" w:rsidP="00AC2E96">
      <w:pPr>
        <w:spacing w:before="100" w:beforeAutospacing="1" w:after="100" w:afterAutospacing="1"/>
        <w:rPr>
          <w:rFonts w:ascii="仿宋_GB2312"/>
          <w:szCs w:val="30"/>
        </w:rPr>
      </w:pPr>
      <w:r>
        <w:rPr>
          <w:rFonts w:ascii="仿宋_GB2312" w:hAnsi="宋体" w:hint="eastAsia"/>
          <w:sz w:val="18"/>
          <w:szCs w:val="18"/>
        </w:rPr>
        <w:t>注：1.上级已统一部署的平台（云平台），应优先使用，不再重复建设。2.</w:t>
      </w:r>
      <w:r>
        <w:rPr>
          <w:rFonts w:ascii="仿宋_GB2312" w:hAnsi="宋体" w:cs="宋体" w:hint="eastAsia"/>
          <w:sz w:val="18"/>
          <w:szCs w:val="18"/>
        </w:rPr>
        <w:t>教育城域网多项应用系统的开发与部署，应严格遵循统一身份认证、单点登录的原则，防范产生新的信息孤岛。</w:t>
      </w:r>
    </w:p>
    <w:sectPr w:rsidR="00C21B1E" w:rsidRPr="000372E1" w:rsidSect="008754A8">
      <w:footerReference w:type="even" r:id="rId12"/>
      <w:footerReference w:type="default" r:id="rId13"/>
      <w:pgSz w:w="11906" w:h="16838"/>
      <w:pgMar w:top="1418" w:right="1418" w:bottom="1418" w:left="1418" w:header="0" w:footer="1588" w:gutter="0"/>
      <w:cols w:space="720"/>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0B" w:rsidRDefault="00540F0B">
      <w:r>
        <w:separator/>
      </w:r>
    </w:p>
  </w:endnote>
  <w:endnote w:type="continuationSeparator" w:id="0">
    <w:p w:rsidR="00540F0B" w:rsidRDefault="0054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71" w:rsidRDefault="00C21B1E">
    <w:pPr>
      <w:pStyle w:val="a5"/>
      <w:framePr w:h="0" w:wrap="around" w:vAnchor="text" w:hAnchor="margin" w:xAlign="outside" w:y="1"/>
      <w:rPr>
        <w:rStyle w:val="a4"/>
      </w:rPr>
    </w:pPr>
    <w:r>
      <w:fldChar w:fldCharType="begin"/>
    </w:r>
    <w:r>
      <w:rPr>
        <w:rStyle w:val="a4"/>
      </w:rPr>
      <w:instrText xml:space="preserve">PAGE  </w:instrText>
    </w:r>
    <w:r>
      <w:fldChar w:fldCharType="end"/>
    </w:r>
  </w:p>
  <w:p w:rsidR="005D2871" w:rsidRDefault="005D287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71" w:rsidRDefault="00C21B1E">
    <w:pPr>
      <w:pStyle w:val="a5"/>
      <w:framePr w:h="0" w:wrap="around" w:vAnchor="text" w:hAnchor="margin" w:xAlign="outside" w:y="1"/>
      <w:rPr>
        <w:rStyle w:val="a4"/>
        <w:rFonts w:ascii="仿宋_GB2312"/>
        <w:sz w:val="30"/>
        <w:szCs w:val="30"/>
      </w:rPr>
    </w:pPr>
    <w:r>
      <w:rPr>
        <w:rStyle w:val="a4"/>
        <w:rFonts w:ascii="仿宋_GB2312" w:hint="eastAsia"/>
        <w:sz w:val="30"/>
        <w:szCs w:val="30"/>
      </w:rPr>
      <w:t xml:space="preserve">— </w:t>
    </w:r>
    <w:r>
      <w:rPr>
        <w:rFonts w:ascii="仿宋_GB2312" w:hint="eastAsia"/>
        <w:sz w:val="30"/>
        <w:szCs w:val="30"/>
      </w:rPr>
      <w:fldChar w:fldCharType="begin"/>
    </w:r>
    <w:r>
      <w:rPr>
        <w:rStyle w:val="a4"/>
        <w:rFonts w:ascii="仿宋_GB2312" w:hint="eastAsia"/>
        <w:sz w:val="30"/>
        <w:szCs w:val="30"/>
      </w:rPr>
      <w:instrText xml:space="preserve"> PAGE </w:instrText>
    </w:r>
    <w:r>
      <w:rPr>
        <w:rFonts w:ascii="仿宋_GB2312" w:hint="eastAsia"/>
        <w:sz w:val="30"/>
        <w:szCs w:val="30"/>
      </w:rPr>
      <w:fldChar w:fldCharType="separate"/>
    </w:r>
    <w:r w:rsidR="008B5249">
      <w:rPr>
        <w:rStyle w:val="a4"/>
        <w:rFonts w:ascii="仿宋_GB2312"/>
        <w:noProof/>
        <w:sz w:val="30"/>
        <w:szCs w:val="30"/>
      </w:rPr>
      <w:t>1</w:t>
    </w:r>
    <w:r>
      <w:rPr>
        <w:rFonts w:ascii="仿宋_GB2312" w:hint="eastAsia"/>
        <w:sz w:val="30"/>
        <w:szCs w:val="30"/>
      </w:rPr>
      <w:fldChar w:fldCharType="end"/>
    </w:r>
    <w:r>
      <w:rPr>
        <w:rStyle w:val="a4"/>
        <w:rFonts w:ascii="仿宋_GB2312" w:hint="eastAsia"/>
        <w:sz w:val="30"/>
        <w:szCs w:val="30"/>
      </w:rPr>
      <w:t xml:space="preserve"> —</w:t>
    </w:r>
  </w:p>
  <w:p w:rsidR="005D2871" w:rsidRDefault="005D2871">
    <w:pPr>
      <w:pStyle w:val="a5"/>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0B" w:rsidRDefault="00540F0B">
      <w:r>
        <w:separator/>
      </w:r>
    </w:p>
  </w:footnote>
  <w:footnote w:type="continuationSeparator" w:id="0">
    <w:p w:rsidR="00540F0B" w:rsidRDefault="00540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62D37BA3"/>
    <w:multiLevelType w:val="hybridMultilevel"/>
    <w:tmpl w:val="BCC8C132"/>
    <w:lvl w:ilvl="0" w:tplc="EF54E7D0">
      <w:start w:val="1"/>
      <w:numFmt w:val="japaneseCounting"/>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69524C56"/>
    <w:multiLevelType w:val="multilevel"/>
    <w:tmpl w:val="69524C5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drawingGridHorizontalSpacing w:val="155"/>
  <w:drawingGridVerticalSpacing w:val="587"/>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2E1"/>
    <w:rsid w:val="000427B2"/>
    <w:rsid w:val="00076E47"/>
    <w:rsid w:val="000D7143"/>
    <w:rsid w:val="000E0120"/>
    <w:rsid w:val="000F33B2"/>
    <w:rsid w:val="00136D31"/>
    <w:rsid w:val="00172A27"/>
    <w:rsid w:val="00181BE7"/>
    <w:rsid w:val="001A6FD7"/>
    <w:rsid w:val="001B1934"/>
    <w:rsid w:val="001D12E8"/>
    <w:rsid w:val="00201084"/>
    <w:rsid w:val="002319B3"/>
    <w:rsid w:val="00276BF9"/>
    <w:rsid w:val="002C654F"/>
    <w:rsid w:val="00321E3A"/>
    <w:rsid w:val="00330183"/>
    <w:rsid w:val="003408D3"/>
    <w:rsid w:val="00381633"/>
    <w:rsid w:val="003B5D85"/>
    <w:rsid w:val="004B7BC2"/>
    <w:rsid w:val="004F68FE"/>
    <w:rsid w:val="0053055F"/>
    <w:rsid w:val="00540F0B"/>
    <w:rsid w:val="00572B35"/>
    <w:rsid w:val="00585E29"/>
    <w:rsid w:val="005C3A3D"/>
    <w:rsid w:val="005D2871"/>
    <w:rsid w:val="00655906"/>
    <w:rsid w:val="00696F8C"/>
    <w:rsid w:val="006F2176"/>
    <w:rsid w:val="007267F6"/>
    <w:rsid w:val="0073300A"/>
    <w:rsid w:val="00734D6C"/>
    <w:rsid w:val="007A38C2"/>
    <w:rsid w:val="007E1DBC"/>
    <w:rsid w:val="007F4F1B"/>
    <w:rsid w:val="008549B8"/>
    <w:rsid w:val="008754A8"/>
    <w:rsid w:val="00892556"/>
    <w:rsid w:val="008B5249"/>
    <w:rsid w:val="009F5C63"/>
    <w:rsid w:val="00A0670D"/>
    <w:rsid w:val="00A117D9"/>
    <w:rsid w:val="00A20DBB"/>
    <w:rsid w:val="00A516CC"/>
    <w:rsid w:val="00A73228"/>
    <w:rsid w:val="00AC2E96"/>
    <w:rsid w:val="00B5625B"/>
    <w:rsid w:val="00B60338"/>
    <w:rsid w:val="00BA16FB"/>
    <w:rsid w:val="00C21B1E"/>
    <w:rsid w:val="00C434EF"/>
    <w:rsid w:val="00D17F38"/>
    <w:rsid w:val="00D23372"/>
    <w:rsid w:val="00D264BF"/>
    <w:rsid w:val="00D32235"/>
    <w:rsid w:val="00D41043"/>
    <w:rsid w:val="00E05F14"/>
    <w:rsid w:val="00E24885"/>
    <w:rsid w:val="00E2697E"/>
    <w:rsid w:val="00E6454C"/>
    <w:rsid w:val="00E733F4"/>
    <w:rsid w:val="00E92EBF"/>
    <w:rsid w:val="00EF6C76"/>
    <w:rsid w:val="00F3528C"/>
    <w:rsid w:val="00FA1F17"/>
    <w:rsid w:val="00FB7D0A"/>
    <w:rsid w:val="00FD1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eastAsia="仿宋_GB2312" w:hAnsi="Calibri"/>
      <w:kern w:val="2"/>
      <w:sz w:val="30"/>
      <w:szCs w:val="22"/>
    </w:rPr>
  </w:style>
  <w:style w:type="paragraph" w:styleId="1">
    <w:name w:val="heading 1"/>
    <w:basedOn w:val="a0"/>
    <w:next w:val="a0"/>
    <w:link w:val="1Char"/>
    <w:qFormat/>
    <w:rsid w:val="007E1DBC"/>
    <w:pPr>
      <w:keepNext/>
      <w:keepLines/>
      <w:spacing w:before="340" w:after="330" w:line="578" w:lineRule="auto"/>
      <w:outlineLvl w:val="0"/>
    </w:pPr>
    <w:rPr>
      <w:rFonts w:eastAsia="黑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Char">
    <w:name w:val="页脚 Char"/>
    <w:link w:val="a5"/>
    <w:rPr>
      <w:rFonts w:ascii="Calibri" w:eastAsia="仿宋_GB2312" w:hAnsi="Calibri"/>
      <w:kern w:val="2"/>
      <w:sz w:val="18"/>
      <w:szCs w:val="18"/>
      <w:lang w:val="en-US" w:eastAsia="zh-CN" w:bidi="ar-SA"/>
    </w:rPr>
  </w:style>
  <w:style w:type="character" w:customStyle="1" w:styleId="Char0">
    <w:name w:val="段 Char"/>
    <w:link w:val="a6"/>
    <w:locked/>
    <w:rPr>
      <w:rFonts w:ascii="宋体" w:eastAsia="宋体"/>
      <w:sz w:val="21"/>
      <w:lang w:val="en-US" w:eastAsia="zh-CN" w:bidi="ar-SA"/>
    </w:rPr>
  </w:style>
  <w:style w:type="character" w:customStyle="1" w:styleId="Char1">
    <w:name w:val="一级条标题 Char"/>
    <w:link w:val="a7"/>
    <w:locked/>
    <w:rPr>
      <w:rFonts w:ascii="黑体" w:eastAsia="黑体"/>
      <w:sz w:val="21"/>
      <w:szCs w:val="21"/>
      <w:lang w:val="en-US" w:eastAsia="zh-CN" w:bidi="ar-SA"/>
    </w:rPr>
  </w:style>
  <w:style w:type="paragraph" w:customStyle="1" w:styleId="a6">
    <w:name w:val="段"/>
    <w:link w:val="Char0"/>
    <w:pPr>
      <w:tabs>
        <w:tab w:val="center" w:pos="4201"/>
        <w:tab w:val="right" w:leader="dot" w:pos="9298"/>
      </w:tabs>
      <w:autoSpaceDE w:val="0"/>
      <w:autoSpaceDN w:val="0"/>
      <w:ind w:firstLineChars="200" w:firstLine="420"/>
      <w:jc w:val="both"/>
    </w:pPr>
    <w:rPr>
      <w:rFonts w:ascii="宋体"/>
      <w:sz w:val="21"/>
    </w:rPr>
  </w:style>
  <w:style w:type="paragraph" w:styleId="a5">
    <w:name w:val="footer"/>
    <w:basedOn w:val="a0"/>
    <w:link w:val="Char"/>
    <w:unhideWhenUsed/>
    <w:pPr>
      <w:tabs>
        <w:tab w:val="center" w:pos="4153"/>
        <w:tab w:val="right" w:pos="8306"/>
      </w:tabs>
      <w:snapToGrid w:val="0"/>
      <w:jc w:val="left"/>
    </w:pPr>
    <w:rPr>
      <w:sz w:val="18"/>
      <w:szCs w:val="18"/>
    </w:rPr>
  </w:style>
  <w:style w:type="paragraph" w:customStyle="1" w:styleId="a7">
    <w:name w:val="一级条标题"/>
    <w:next w:val="a6"/>
    <w:link w:val="Char1"/>
    <w:pPr>
      <w:spacing w:beforeLines="50" w:before="156" w:afterLines="50" w:after="156"/>
      <w:outlineLvl w:val="2"/>
    </w:pPr>
    <w:rPr>
      <w:rFonts w:ascii="黑体" w:eastAsia="黑体"/>
      <w:sz w:val="21"/>
      <w:szCs w:val="21"/>
    </w:rPr>
  </w:style>
  <w:style w:type="paragraph" w:styleId="a8">
    <w:name w:val="header"/>
    <w:basedOn w:val="a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0"/>
    <w:pPr>
      <w:ind w:firstLineChars="200" w:firstLine="420"/>
    </w:pPr>
    <w:rPr>
      <w:rFonts w:eastAsia="宋体"/>
    </w:rPr>
  </w:style>
  <w:style w:type="paragraph" w:customStyle="1" w:styleId="a">
    <w:name w:val="章标题"/>
    <w:next w:val="a0"/>
    <w:pPr>
      <w:numPr>
        <w:numId w:val="1"/>
      </w:numPr>
      <w:spacing w:beforeLines="100" w:before="312" w:afterLines="100" w:after="312"/>
      <w:jc w:val="both"/>
      <w:outlineLvl w:val="1"/>
    </w:pPr>
    <w:rPr>
      <w:rFonts w:ascii="黑体" w:eastAsia="黑体"/>
      <w:sz w:val="21"/>
    </w:rPr>
  </w:style>
  <w:style w:type="paragraph" w:styleId="a9">
    <w:name w:val="Balloon Text"/>
    <w:basedOn w:val="a0"/>
    <w:link w:val="Char2"/>
    <w:rsid w:val="000372E1"/>
    <w:rPr>
      <w:sz w:val="18"/>
      <w:szCs w:val="18"/>
    </w:rPr>
  </w:style>
  <w:style w:type="character" w:customStyle="1" w:styleId="Char2">
    <w:name w:val="批注框文本 Char"/>
    <w:link w:val="a9"/>
    <w:rsid w:val="000372E1"/>
    <w:rPr>
      <w:rFonts w:ascii="Calibri" w:eastAsia="仿宋_GB2312" w:hAnsi="Calibri"/>
      <w:kern w:val="2"/>
      <w:sz w:val="18"/>
      <w:szCs w:val="18"/>
    </w:rPr>
  </w:style>
  <w:style w:type="paragraph" w:styleId="aa">
    <w:name w:val="Title"/>
    <w:basedOn w:val="a0"/>
    <w:next w:val="a0"/>
    <w:link w:val="Char3"/>
    <w:qFormat/>
    <w:rsid w:val="000D7143"/>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1"/>
    <w:link w:val="aa"/>
    <w:rsid w:val="000D7143"/>
    <w:rPr>
      <w:rFonts w:asciiTheme="majorHAnsi" w:hAnsiTheme="majorHAnsi" w:cstheme="majorBidi"/>
      <w:b/>
      <w:bCs/>
      <w:kern w:val="2"/>
      <w:sz w:val="32"/>
      <w:szCs w:val="32"/>
    </w:rPr>
  </w:style>
  <w:style w:type="character" w:customStyle="1" w:styleId="1Char">
    <w:name w:val="标题 1 Char"/>
    <w:basedOn w:val="a1"/>
    <w:link w:val="1"/>
    <w:rsid w:val="007E1DBC"/>
    <w:rPr>
      <w:rFonts w:ascii="Calibri" w:eastAsia="黑体" w:hAnsi="Calibri"/>
      <w:b/>
      <w:bCs/>
      <w:kern w:val="44"/>
      <w:sz w:val="32"/>
      <w:szCs w:val="44"/>
    </w:rPr>
  </w:style>
  <w:style w:type="paragraph" w:styleId="ab">
    <w:name w:val="Subtitle"/>
    <w:basedOn w:val="a0"/>
    <w:next w:val="a0"/>
    <w:link w:val="Char4"/>
    <w:qFormat/>
    <w:rsid w:val="007E1DBC"/>
    <w:pPr>
      <w:spacing w:before="240" w:after="60" w:line="312" w:lineRule="auto"/>
      <w:jc w:val="left"/>
      <w:outlineLvl w:val="1"/>
    </w:pPr>
    <w:rPr>
      <w:rFonts w:asciiTheme="majorHAnsi" w:eastAsia="仿宋" w:hAnsiTheme="majorHAnsi" w:cstheme="majorBidi"/>
      <w:bCs/>
      <w:kern w:val="28"/>
      <w:sz w:val="32"/>
      <w:szCs w:val="32"/>
    </w:rPr>
  </w:style>
  <w:style w:type="character" w:customStyle="1" w:styleId="Char4">
    <w:name w:val="副标题 Char"/>
    <w:basedOn w:val="a1"/>
    <w:link w:val="ab"/>
    <w:rsid w:val="007E1DBC"/>
    <w:rPr>
      <w:rFonts w:asciiTheme="majorHAnsi" w:eastAsia="仿宋" w:hAnsiTheme="majorHAnsi" w:cstheme="majorBidi"/>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Calibri" w:eastAsia="仿宋_GB2312" w:hAnsi="Calibri"/>
      <w:kern w:val="2"/>
      <w:sz w:val="30"/>
      <w:szCs w:val="22"/>
    </w:rPr>
  </w:style>
  <w:style w:type="paragraph" w:styleId="1">
    <w:name w:val="heading 1"/>
    <w:basedOn w:val="a0"/>
    <w:next w:val="a0"/>
    <w:link w:val="1Char"/>
    <w:qFormat/>
    <w:rsid w:val="007E1DBC"/>
    <w:pPr>
      <w:keepNext/>
      <w:keepLines/>
      <w:spacing w:before="340" w:after="330" w:line="578" w:lineRule="auto"/>
      <w:outlineLvl w:val="0"/>
    </w:pPr>
    <w:rPr>
      <w:rFonts w:eastAsia="黑体"/>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style>
  <w:style w:type="character" w:customStyle="1" w:styleId="Char">
    <w:name w:val="页脚 Char"/>
    <w:link w:val="a5"/>
    <w:rPr>
      <w:rFonts w:ascii="Calibri" w:eastAsia="仿宋_GB2312" w:hAnsi="Calibri"/>
      <w:kern w:val="2"/>
      <w:sz w:val="18"/>
      <w:szCs w:val="18"/>
      <w:lang w:val="en-US" w:eastAsia="zh-CN" w:bidi="ar-SA"/>
    </w:rPr>
  </w:style>
  <w:style w:type="character" w:customStyle="1" w:styleId="Char0">
    <w:name w:val="段 Char"/>
    <w:link w:val="a6"/>
    <w:locked/>
    <w:rPr>
      <w:rFonts w:ascii="宋体" w:eastAsia="宋体"/>
      <w:sz w:val="21"/>
      <w:lang w:val="en-US" w:eastAsia="zh-CN" w:bidi="ar-SA"/>
    </w:rPr>
  </w:style>
  <w:style w:type="character" w:customStyle="1" w:styleId="Char1">
    <w:name w:val="一级条标题 Char"/>
    <w:link w:val="a7"/>
    <w:locked/>
    <w:rPr>
      <w:rFonts w:ascii="黑体" w:eastAsia="黑体"/>
      <w:sz w:val="21"/>
      <w:szCs w:val="21"/>
      <w:lang w:val="en-US" w:eastAsia="zh-CN" w:bidi="ar-SA"/>
    </w:rPr>
  </w:style>
  <w:style w:type="paragraph" w:customStyle="1" w:styleId="a6">
    <w:name w:val="段"/>
    <w:link w:val="Char0"/>
    <w:pPr>
      <w:tabs>
        <w:tab w:val="center" w:pos="4201"/>
        <w:tab w:val="right" w:leader="dot" w:pos="9298"/>
      </w:tabs>
      <w:autoSpaceDE w:val="0"/>
      <w:autoSpaceDN w:val="0"/>
      <w:ind w:firstLineChars="200" w:firstLine="420"/>
      <w:jc w:val="both"/>
    </w:pPr>
    <w:rPr>
      <w:rFonts w:ascii="宋体"/>
      <w:sz w:val="21"/>
    </w:rPr>
  </w:style>
  <w:style w:type="paragraph" w:styleId="a5">
    <w:name w:val="footer"/>
    <w:basedOn w:val="a0"/>
    <w:link w:val="Char"/>
    <w:unhideWhenUsed/>
    <w:pPr>
      <w:tabs>
        <w:tab w:val="center" w:pos="4153"/>
        <w:tab w:val="right" w:pos="8306"/>
      </w:tabs>
      <w:snapToGrid w:val="0"/>
      <w:jc w:val="left"/>
    </w:pPr>
    <w:rPr>
      <w:sz w:val="18"/>
      <w:szCs w:val="18"/>
    </w:rPr>
  </w:style>
  <w:style w:type="paragraph" w:customStyle="1" w:styleId="a7">
    <w:name w:val="一级条标题"/>
    <w:next w:val="a6"/>
    <w:link w:val="Char1"/>
    <w:pPr>
      <w:spacing w:beforeLines="50" w:before="156" w:afterLines="50" w:after="156"/>
      <w:outlineLvl w:val="2"/>
    </w:pPr>
    <w:rPr>
      <w:rFonts w:ascii="黑体" w:eastAsia="黑体"/>
      <w:sz w:val="21"/>
      <w:szCs w:val="21"/>
    </w:rPr>
  </w:style>
  <w:style w:type="paragraph" w:styleId="a8">
    <w:name w:val="header"/>
    <w:basedOn w:val="a0"/>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0"/>
    <w:pPr>
      <w:ind w:firstLineChars="200" w:firstLine="420"/>
    </w:pPr>
    <w:rPr>
      <w:rFonts w:eastAsia="宋体"/>
    </w:rPr>
  </w:style>
  <w:style w:type="paragraph" w:customStyle="1" w:styleId="a">
    <w:name w:val="章标题"/>
    <w:next w:val="a0"/>
    <w:pPr>
      <w:numPr>
        <w:numId w:val="1"/>
      </w:numPr>
      <w:spacing w:beforeLines="100" w:before="312" w:afterLines="100" w:after="312"/>
      <w:jc w:val="both"/>
      <w:outlineLvl w:val="1"/>
    </w:pPr>
    <w:rPr>
      <w:rFonts w:ascii="黑体" w:eastAsia="黑体"/>
      <w:sz w:val="21"/>
    </w:rPr>
  </w:style>
  <w:style w:type="paragraph" w:styleId="a9">
    <w:name w:val="Balloon Text"/>
    <w:basedOn w:val="a0"/>
    <w:link w:val="Char2"/>
    <w:rsid w:val="000372E1"/>
    <w:rPr>
      <w:sz w:val="18"/>
      <w:szCs w:val="18"/>
    </w:rPr>
  </w:style>
  <w:style w:type="character" w:customStyle="1" w:styleId="Char2">
    <w:name w:val="批注框文本 Char"/>
    <w:link w:val="a9"/>
    <w:rsid w:val="000372E1"/>
    <w:rPr>
      <w:rFonts w:ascii="Calibri" w:eastAsia="仿宋_GB2312" w:hAnsi="Calibri"/>
      <w:kern w:val="2"/>
      <w:sz w:val="18"/>
      <w:szCs w:val="18"/>
    </w:rPr>
  </w:style>
  <w:style w:type="paragraph" w:styleId="aa">
    <w:name w:val="Title"/>
    <w:basedOn w:val="a0"/>
    <w:next w:val="a0"/>
    <w:link w:val="Char3"/>
    <w:qFormat/>
    <w:rsid w:val="000D7143"/>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1"/>
    <w:link w:val="aa"/>
    <w:rsid w:val="000D7143"/>
    <w:rPr>
      <w:rFonts w:asciiTheme="majorHAnsi" w:hAnsiTheme="majorHAnsi" w:cstheme="majorBidi"/>
      <w:b/>
      <w:bCs/>
      <w:kern w:val="2"/>
      <w:sz w:val="32"/>
      <w:szCs w:val="32"/>
    </w:rPr>
  </w:style>
  <w:style w:type="character" w:customStyle="1" w:styleId="1Char">
    <w:name w:val="标题 1 Char"/>
    <w:basedOn w:val="a1"/>
    <w:link w:val="1"/>
    <w:rsid w:val="007E1DBC"/>
    <w:rPr>
      <w:rFonts w:ascii="Calibri" w:eastAsia="黑体" w:hAnsi="Calibri"/>
      <w:b/>
      <w:bCs/>
      <w:kern w:val="44"/>
      <w:sz w:val="32"/>
      <w:szCs w:val="44"/>
    </w:rPr>
  </w:style>
  <w:style w:type="paragraph" w:styleId="ab">
    <w:name w:val="Subtitle"/>
    <w:basedOn w:val="a0"/>
    <w:next w:val="a0"/>
    <w:link w:val="Char4"/>
    <w:qFormat/>
    <w:rsid w:val="007E1DBC"/>
    <w:pPr>
      <w:spacing w:before="240" w:after="60" w:line="312" w:lineRule="auto"/>
      <w:jc w:val="left"/>
      <w:outlineLvl w:val="1"/>
    </w:pPr>
    <w:rPr>
      <w:rFonts w:asciiTheme="majorHAnsi" w:eastAsia="仿宋" w:hAnsiTheme="majorHAnsi" w:cstheme="majorBidi"/>
      <w:bCs/>
      <w:kern w:val="28"/>
      <w:sz w:val="32"/>
      <w:szCs w:val="32"/>
    </w:rPr>
  </w:style>
  <w:style w:type="character" w:customStyle="1" w:styleId="Char4">
    <w:name w:val="副标题 Char"/>
    <w:basedOn w:val="a1"/>
    <w:link w:val="ab"/>
    <w:rsid w:val="007E1DBC"/>
    <w:rPr>
      <w:rFonts w:asciiTheme="majorHAnsi" w:eastAsia="仿宋" w:hAnsiTheme="majorHAnsi" w:cstheme="majorBidi"/>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1062</Words>
  <Characters>6056</Characters>
  <Application>Microsoft Office Word</Application>
  <DocSecurity>0</DocSecurity>
  <PresentationFormat/>
  <Lines>50</Lines>
  <Paragraphs>14</Paragraphs>
  <Slides>0</Slides>
  <Notes>0</Notes>
  <HiddenSlides>0</HiddenSlides>
  <MMClips>0</MMClips>
  <ScaleCrop>false</ScaleCrop>
  <Company>微软中国</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件</dc:title>
  <dc:creator>标准用户</dc:creator>
  <cp:lastModifiedBy>t</cp:lastModifiedBy>
  <cp:revision>2</cp:revision>
  <cp:lastPrinted>2018-07-12T15:51:00Z</cp:lastPrinted>
  <dcterms:created xsi:type="dcterms:W3CDTF">2018-10-24T09:31:00Z</dcterms:created>
  <dcterms:modified xsi:type="dcterms:W3CDTF">2018-10-24T09:31:00Z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